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0D0B" w:rsidRDefault="00FD0360">
      <w:pPr>
        <w:pStyle w:val="af6"/>
        <w:widowControl/>
        <w:kinsoku w:val="0"/>
        <w:autoSpaceDE w:val="0"/>
        <w:autoSpaceDN w:val="0"/>
        <w:adjustRightInd w:val="0"/>
        <w:snapToGrid w:val="0"/>
        <w:jc w:val="both"/>
        <w:textAlignment w:val="baseline"/>
        <w:rPr>
          <w:rFonts w:ascii="黑体" w:eastAsia="黑体" w:hAnsi="黑体" w:cs="黑体"/>
          <w:b w:val="0"/>
          <w:bCs/>
          <w:snapToGrid w:val="0"/>
          <w:color w:val="000000" w:themeColor="text1"/>
          <w:kern w:val="0"/>
          <w:sz w:val="60"/>
          <w:szCs w:val="60"/>
        </w:rPr>
      </w:pPr>
      <w:r>
        <w:rPr>
          <w:rFonts w:eastAsia="宋体" w:hint="eastAsia"/>
          <w:noProof/>
        </w:rPr>
        <w:drawing>
          <wp:anchor distT="0" distB="0" distL="114300" distR="114300" simplePos="0" relativeHeight="251659264" behindDoc="1" locked="0" layoutInCell="1" allowOverlap="1">
            <wp:simplePos x="0" y="0"/>
            <wp:positionH relativeFrom="column">
              <wp:posOffset>-655320</wp:posOffset>
            </wp:positionH>
            <wp:positionV relativeFrom="page">
              <wp:posOffset>9525</wp:posOffset>
            </wp:positionV>
            <wp:extent cx="8336915" cy="10737215"/>
            <wp:effectExtent l="0" t="0" r="0" b="6985"/>
            <wp:wrapNone/>
            <wp:docPr id="1" name="图片 1" descr="E:/付丽工作/2025/000-画册/0528-压力测试报告通用封面/压力测试报告通用封面_画板 1.jpg压力测试报告通用封面_画板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付丽工作/2025/000-画册/0528-压力测试报告通用封面/压力测试报告通用封面_画板 1.jpg压力测试报告通用封面_画板 1"/>
                    <pic:cNvPicPr>
                      <a:picLocks noChangeAspect="1"/>
                    </pic:cNvPicPr>
                  </pic:nvPicPr>
                  <pic:blipFill>
                    <a:blip r:embed="rId8" cstate="print"/>
                    <a:srcRect l="-275" r="-9506"/>
                    <a:stretch>
                      <a:fillRect/>
                    </a:stretch>
                  </pic:blipFill>
                  <pic:spPr>
                    <a:xfrm>
                      <a:off x="0" y="0"/>
                      <a:ext cx="8336915" cy="10737215"/>
                    </a:xfrm>
                    <a:prstGeom prst="rect">
                      <a:avLst/>
                    </a:prstGeom>
                  </pic:spPr>
                </pic:pic>
              </a:graphicData>
            </a:graphic>
          </wp:anchor>
        </w:drawing>
      </w:r>
    </w:p>
    <w:p w:rsidR="00D00D0B" w:rsidRDefault="00D00D0B">
      <w:pPr>
        <w:pStyle w:val="af6"/>
        <w:widowControl/>
        <w:kinsoku w:val="0"/>
        <w:autoSpaceDE w:val="0"/>
        <w:autoSpaceDN w:val="0"/>
        <w:adjustRightInd w:val="0"/>
        <w:snapToGrid w:val="0"/>
        <w:jc w:val="right"/>
        <w:textAlignment w:val="baseline"/>
        <w:rPr>
          <w:rFonts w:ascii="黑体" w:eastAsia="黑体" w:hAnsi="黑体" w:cs="黑体"/>
          <w:b w:val="0"/>
          <w:bCs/>
          <w:snapToGrid w:val="0"/>
          <w:color w:val="000000" w:themeColor="text1"/>
          <w:kern w:val="0"/>
          <w:sz w:val="60"/>
          <w:szCs w:val="60"/>
        </w:rPr>
      </w:pPr>
    </w:p>
    <w:p w:rsidR="00D00D0B" w:rsidRDefault="00D00D0B">
      <w:pPr>
        <w:pStyle w:val="af6"/>
        <w:widowControl/>
        <w:kinsoku w:val="0"/>
        <w:autoSpaceDE w:val="0"/>
        <w:autoSpaceDN w:val="0"/>
        <w:adjustRightInd w:val="0"/>
        <w:snapToGrid w:val="0"/>
        <w:textAlignment w:val="baseline"/>
        <w:rPr>
          <w:rFonts w:ascii="黑体" w:eastAsia="黑体" w:hAnsi="黑体" w:cs="黑体"/>
          <w:b w:val="0"/>
          <w:bCs/>
          <w:snapToGrid w:val="0"/>
          <w:color w:val="000000" w:themeColor="text1"/>
          <w:kern w:val="0"/>
          <w:sz w:val="52"/>
          <w:szCs w:val="52"/>
        </w:rPr>
      </w:pPr>
    </w:p>
    <w:p w:rsidR="00D00D0B" w:rsidRDefault="00FD0360">
      <w:pPr>
        <w:pStyle w:val="af6"/>
        <w:widowControl/>
        <w:kinsoku w:val="0"/>
        <w:autoSpaceDE w:val="0"/>
        <w:autoSpaceDN w:val="0"/>
        <w:adjustRightInd w:val="0"/>
        <w:snapToGrid w:val="0"/>
        <w:textAlignment w:val="baseline"/>
        <w:rPr>
          <w:rFonts w:ascii="黑体" w:eastAsia="黑体" w:hAnsi="黑体" w:cs="黑体"/>
          <w:b w:val="0"/>
          <w:bCs/>
          <w:snapToGrid w:val="0"/>
          <w:color w:val="000000" w:themeColor="text1"/>
          <w:kern w:val="0"/>
          <w:sz w:val="52"/>
          <w:szCs w:val="52"/>
        </w:rPr>
      </w:pPr>
      <w:r>
        <w:rPr>
          <w:rFonts w:ascii="黑体" w:eastAsia="黑体" w:hAnsi="黑体" w:cs="黑体" w:hint="eastAsia"/>
          <w:b w:val="0"/>
          <w:bCs/>
          <w:snapToGrid w:val="0"/>
          <w:color w:val="000000" w:themeColor="text1"/>
          <w:kern w:val="0"/>
          <w:sz w:val="52"/>
          <w:szCs w:val="52"/>
        </w:rPr>
        <w:t>江苏句容农村商业银行股份有限公司</w:t>
      </w:r>
    </w:p>
    <w:p w:rsidR="00D00D0B" w:rsidRDefault="00FD0360">
      <w:pPr>
        <w:pStyle w:val="af6"/>
        <w:widowControl/>
        <w:kinsoku w:val="0"/>
        <w:autoSpaceDE w:val="0"/>
        <w:autoSpaceDN w:val="0"/>
        <w:adjustRightInd w:val="0"/>
        <w:snapToGrid w:val="0"/>
        <w:textAlignment w:val="baseline"/>
        <w:rPr>
          <w:rFonts w:ascii="黑体" w:eastAsia="黑体" w:hAnsi="黑体" w:cs="黑体"/>
          <w:b w:val="0"/>
          <w:bCs/>
          <w:snapToGrid w:val="0"/>
          <w:color w:val="00B050"/>
          <w:kern w:val="0"/>
          <w:sz w:val="52"/>
          <w:szCs w:val="52"/>
        </w:rPr>
      </w:pPr>
      <w:r>
        <w:rPr>
          <w:rFonts w:ascii="黑体" w:eastAsia="黑体" w:hAnsi="黑体" w:cs="黑体" w:hint="eastAsia"/>
          <w:b w:val="0"/>
          <w:bCs/>
          <w:snapToGrid w:val="0"/>
          <w:color w:val="00B050"/>
          <w:kern w:val="0"/>
          <w:sz w:val="52"/>
          <w:szCs w:val="52"/>
        </w:rPr>
        <w:t>2025年</w:t>
      </w:r>
      <w:r>
        <w:rPr>
          <w:rFonts w:ascii="黑体" w:eastAsia="黑体" w:hAnsi="黑体" w:cs="黑体"/>
          <w:b w:val="0"/>
          <w:bCs/>
          <w:color w:val="00B050"/>
          <w:sz w:val="52"/>
        </w:rPr>
        <w:t>气候风险评估与压力测试报告</w:t>
      </w:r>
      <w:r>
        <w:rPr>
          <w:rFonts w:ascii="黑体" w:eastAsia="黑体" w:hAnsi="黑体" w:cs="黑体"/>
          <w:b w:val="0"/>
          <w:bCs/>
          <w:color w:val="00B050"/>
          <w:sz w:val="52"/>
        </w:rPr>
        <w:br/>
      </w:r>
    </w:p>
    <w:p w:rsidR="00D00D0B" w:rsidRDefault="00D00D0B">
      <w:pPr>
        <w:pStyle w:val="af6"/>
        <w:widowControl/>
        <w:kinsoku w:val="0"/>
        <w:autoSpaceDE w:val="0"/>
        <w:autoSpaceDN w:val="0"/>
        <w:adjustRightInd w:val="0"/>
        <w:snapToGrid w:val="0"/>
        <w:textAlignment w:val="baseline"/>
        <w:rPr>
          <w:rFonts w:ascii="黑体" w:eastAsia="黑体" w:hAnsi="黑体" w:cs="黑体"/>
          <w:b w:val="0"/>
          <w:bCs/>
          <w:snapToGrid w:val="0"/>
          <w:color w:val="000000" w:themeColor="text1"/>
          <w:kern w:val="0"/>
          <w:sz w:val="52"/>
          <w:szCs w:val="52"/>
        </w:rPr>
      </w:pPr>
    </w:p>
    <w:p w:rsidR="00D00D0B" w:rsidRDefault="00D00D0B">
      <w:pPr>
        <w:pStyle w:val="af6"/>
        <w:widowControl/>
        <w:kinsoku w:val="0"/>
        <w:autoSpaceDE w:val="0"/>
        <w:autoSpaceDN w:val="0"/>
        <w:adjustRightInd w:val="0"/>
        <w:snapToGrid w:val="0"/>
        <w:textAlignment w:val="baseline"/>
        <w:rPr>
          <w:rFonts w:ascii="黑体" w:eastAsia="黑体" w:hAnsi="黑体" w:cs="黑体"/>
          <w:b w:val="0"/>
          <w:bCs/>
          <w:snapToGrid w:val="0"/>
          <w:color w:val="000000" w:themeColor="text1"/>
          <w:kern w:val="0"/>
          <w:sz w:val="52"/>
          <w:szCs w:val="52"/>
        </w:rPr>
      </w:pPr>
    </w:p>
    <w:p w:rsidR="00D00D0B" w:rsidRDefault="00D00D0B">
      <w:pPr>
        <w:pStyle w:val="af6"/>
        <w:adjustRightInd w:val="0"/>
        <w:snapToGrid w:val="0"/>
        <w:jc w:val="both"/>
        <w:rPr>
          <w:rFonts w:ascii="黑体" w:eastAsia="黑体" w:hAnsi="黑体" w:cs="黑体"/>
          <w:b w:val="0"/>
          <w:bCs/>
          <w:color w:val="000000" w:themeColor="text1"/>
        </w:rPr>
      </w:pPr>
    </w:p>
    <w:p w:rsidR="00D00D0B" w:rsidRDefault="00D00D0B">
      <w:pPr>
        <w:pStyle w:val="af6"/>
        <w:adjustRightInd w:val="0"/>
        <w:snapToGrid w:val="0"/>
        <w:jc w:val="both"/>
        <w:rPr>
          <w:rFonts w:ascii="黑体" w:eastAsia="黑体" w:hAnsi="黑体" w:cs="黑体"/>
          <w:b w:val="0"/>
          <w:bCs/>
          <w:color w:val="000000" w:themeColor="text1"/>
        </w:rPr>
      </w:pPr>
    </w:p>
    <w:p w:rsidR="00D00D0B" w:rsidRDefault="00D00D0B">
      <w:pPr>
        <w:pStyle w:val="af6"/>
        <w:adjustRightInd w:val="0"/>
        <w:snapToGrid w:val="0"/>
        <w:jc w:val="both"/>
        <w:rPr>
          <w:rFonts w:ascii="黑体" w:eastAsia="黑体" w:hAnsi="黑体" w:cs="黑体"/>
          <w:b w:val="0"/>
          <w:bCs/>
          <w:color w:val="000000" w:themeColor="text1"/>
        </w:rPr>
      </w:pPr>
    </w:p>
    <w:p w:rsidR="00D00D0B" w:rsidRDefault="00D00D0B">
      <w:pPr>
        <w:pStyle w:val="af6"/>
        <w:adjustRightInd w:val="0"/>
        <w:snapToGrid w:val="0"/>
        <w:jc w:val="both"/>
        <w:rPr>
          <w:rFonts w:ascii="黑体" w:eastAsia="黑体" w:hAnsi="黑体" w:cs="黑体"/>
          <w:b w:val="0"/>
          <w:bCs/>
          <w:color w:val="000000" w:themeColor="text1"/>
        </w:rPr>
      </w:pPr>
    </w:p>
    <w:p w:rsidR="00D00D0B" w:rsidRDefault="00D00D0B">
      <w:pPr>
        <w:pStyle w:val="af6"/>
        <w:adjustRightInd w:val="0"/>
        <w:snapToGrid w:val="0"/>
        <w:jc w:val="both"/>
        <w:rPr>
          <w:rFonts w:ascii="黑体" w:eastAsia="黑体" w:hAnsi="黑体" w:cs="黑体"/>
          <w:b w:val="0"/>
          <w:bCs/>
          <w:color w:val="000000" w:themeColor="text1"/>
        </w:rPr>
      </w:pPr>
    </w:p>
    <w:p w:rsidR="00D00D0B" w:rsidRDefault="00FD0360">
      <w:pPr>
        <w:pStyle w:val="af8"/>
        <w:adjustRightInd w:val="0"/>
        <w:snapToGrid w:val="0"/>
        <w:ind w:firstLineChars="0" w:firstLine="0"/>
        <w:jc w:val="center"/>
        <w:rPr>
          <w:rFonts w:ascii="黑体" w:eastAsia="黑体" w:hAnsi="黑体" w:cs="黑体"/>
          <w:bCs/>
          <w:color w:val="000000" w:themeColor="text1"/>
          <w:sz w:val="32"/>
          <w:szCs w:val="32"/>
        </w:rPr>
      </w:pPr>
      <w:r>
        <w:rPr>
          <w:rFonts w:ascii="黑体" w:eastAsia="黑体" w:hAnsi="黑体" w:cs="黑体" w:hint="eastAsia"/>
          <w:bCs/>
          <w:color w:val="000000" w:themeColor="text1"/>
          <w:sz w:val="32"/>
          <w:szCs w:val="32"/>
        </w:rPr>
        <w:t>报告主体：</w:t>
      </w:r>
      <w:r>
        <w:rPr>
          <w:rFonts w:ascii="黑体" w:eastAsia="黑体" w:hAnsi="黑体" w:cs="黑体" w:hint="eastAsia"/>
          <w:bCs/>
          <w:color w:val="000000" w:themeColor="text1"/>
          <w:sz w:val="32"/>
        </w:rPr>
        <w:t>江苏句容农村商业银行股份有限公司</w:t>
      </w:r>
    </w:p>
    <w:p w:rsidR="00D00D0B" w:rsidRDefault="00FD0360">
      <w:pPr>
        <w:pStyle w:val="af8"/>
        <w:adjustRightInd w:val="0"/>
        <w:snapToGrid w:val="0"/>
        <w:ind w:firstLineChars="0" w:firstLine="0"/>
        <w:jc w:val="center"/>
        <w:rPr>
          <w:rFonts w:ascii="黑体" w:eastAsia="黑体" w:hAnsi="黑体" w:cs="黑体"/>
          <w:bCs/>
          <w:color w:val="000000" w:themeColor="text1"/>
          <w:sz w:val="32"/>
          <w:szCs w:val="32"/>
        </w:rPr>
        <w:sectPr w:rsidR="00D00D0B">
          <w:headerReference w:type="even" r:id="rId9"/>
          <w:headerReference w:type="default" r:id="rId10"/>
          <w:footerReference w:type="even" r:id="rId11"/>
          <w:footerReference w:type="default" r:id="rId12"/>
          <w:headerReference w:type="first" r:id="rId13"/>
          <w:footerReference w:type="first" r:id="rId14"/>
          <w:pgSz w:w="11906" w:h="16838"/>
          <w:pgMar w:top="998" w:right="998" w:bottom="1451" w:left="998" w:header="0" w:footer="992" w:gutter="0"/>
          <w:cols w:space="425"/>
          <w:titlePg/>
          <w:docGrid w:type="lines" w:linePitch="435"/>
        </w:sectPr>
      </w:pPr>
      <w:r>
        <w:rPr>
          <w:rFonts w:ascii="黑体" w:eastAsia="黑体" w:hAnsi="黑体" w:cs="黑体" w:hint="eastAsia"/>
          <w:bCs/>
          <w:color w:val="000000" w:themeColor="text1"/>
          <w:sz w:val="32"/>
          <w:szCs w:val="32"/>
        </w:rPr>
        <w:t>编制日期：</w:t>
      </w:r>
      <w:r>
        <w:rPr>
          <w:rFonts w:ascii="黑体" w:eastAsia="黑体" w:hAnsi="黑体" w:cs="黑体"/>
          <w:bCs/>
          <w:color w:val="000000" w:themeColor="text1"/>
          <w:sz w:val="32"/>
        </w:rPr>
        <w:t>2025年0</w:t>
      </w:r>
      <w:r>
        <w:rPr>
          <w:rFonts w:ascii="黑体" w:eastAsia="黑体" w:hAnsi="黑体" w:cs="黑体" w:hint="eastAsia"/>
          <w:bCs/>
          <w:color w:val="000000" w:themeColor="text1"/>
          <w:sz w:val="32"/>
        </w:rPr>
        <w:t>6</w:t>
      </w:r>
      <w:r>
        <w:rPr>
          <w:rFonts w:ascii="黑体" w:eastAsia="黑体" w:hAnsi="黑体" w:cs="黑体"/>
          <w:bCs/>
          <w:color w:val="000000" w:themeColor="text1"/>
          <w:sz w:val="32"/>
        </w:rPr>
        <w:t>月</w:t>
      </w:r>
    </w:p>
    <w:p w:rsidR="00D00D0B" w:rsidRDefault="00D00D0B">
      <w:pPr>
        <w:pStyle w:val="TOC1"/>
        <w:spacing w:before="0" w:line="360" w:lineRule="auto"/>
        <w:rPr>
          <w:rFonts w:ascii="黑体" w:eastAsia="黑体" w:hAnsi="黑体"/>
          <w:color w:val="000000" w:themeColor="text1"/>
          <w:kern w:val="2"/>
        </w:rPr>
      </w:pPr>
    </w:p>
    <w:p w:rsidR="00D00D0B" w:rsidRDefault="00FD0360">
      <w:pPr>
        <w:pStyle w:val="TOC1"/>
        <w:spacing w:before="0" w:line="360" w:lineRule="auto"/>
        <w:rPr>
          <w:rFonts w:ascii="黑体" w:eastAsia="黑体" w:hAnsi="黑体"/>
          <w:color w:val="000000" w:themeColor="text1"/>
          <w:kern w:val="2"/>
        </w:rPr>
      </w:pPr>
      <w:r>
        <w:rPr>
          <w:rFonts w:ascii="黑体" w:eastAsia="黑体" w:hAnsi="黑体" w:hint="eastAsia"/>
          <w:color w:val="000000" w:themeColor="text1"/>
          <w:kern w:val="2"/>
        </w:rPr>
        <w:t>目  录</w:t>
      </w:r>
    </w:p>
    <w:sdt>
      <w:sdtPr>
        <w:rPr>
          <w:rFonts w:ascii="宋体" w:eastAsia="宋体" w:hAnsi="宋体" w:cs="Times New Roman"/>
          <w:kern w:val="0"/>
          <w:sz w:val="21"/>
        </w:rPr>
        <w:id w:val="147472191"/>
        <w:docPartObj>
          <w:docPartGallery w:val="Table of Contents"/>
          <w:docPartUnique/>
        </w:docPartObj>
      </w:sdtPr>
      <w:sdtEndPr>
        <w:rPr>
          <w:rFonts w:ascii="Calibri" w:hAnsi="Calibri" w:hint="eastAsia"/>
          <w:bCs/>
          <w:color w:val="000000" w:themeColor="text1"/>
          <w:sz w:val="22"/>
          <w:szCs w:val="28"/>
          <w:lang w:val="zh-CN"/>
        </w:rPr>
      </w:sdtEndPr>
      <w:sdtContent>
        <w:p w:rsidR="00D00D0B" w:rsidRDefault="00D00D0B">
          <w:pPr>
            <w:spacing w:line="240" w:lineRule="auto"/>
            <w:ind w:firstLineChars="0" w:firstLine="0"/>
            <w:jc w:val="center"/>
          </w:pPr>
        </w:p>
        <w:p w:rsidR="00D00D0B" w:rsidRDefault="004C77AE">
          <w:pPr>
            <w:pStyle w:val="10"/>
            <w:tabs>
              <w:tab w:val="right" w:leader="dot" w:pos="8306"/>
            </w:tabs>
            <w:rPr>
              <w:b/>
              <w:bCs/>
            </w:rPr>
          </w:pPr>
          <w:r w:rsidRPr="004C77AE">
            <w:rPr>
              <w:rFonts w:hint="eastAsia"/>
              <w:bCs/>
              <w:color w:val="000000" w:themeColor="text1"/>
              <w:sz w:val="28"/>
              <w:szCs w:val="28"/>
              <w:lang w:val="zh-CN"/>
            </w:rPr>
            <w:fldChar w:fldCharType="begin"/>
          </w:r>
          <w:r w:rsidR="00FD0360">
            <w:rPr>
              <w:rFonts w:hint="eastAsia"/>
              <w:bCs/>
              <w:color w:val="000000" w:themeColor="text1"/>
              <w:sz w:val="28"/>
              <w:szCs w:val="28"/>
              <w:lang w:val="zh-CN"/>
            </w:rPr>
            <w:instrText xml:space="preserve">TOC \o "1-2" \h \u </w:instrText>
          </w:r>
          <w:r w:rsidRPr="004C77AE">
            <w:rPr>
              <w:rFonts w:hint="eastAsia"/>
              <w:bCs/>
              <w:color w:val="000000" w:themeColor="text1"/>
              <w:sz w:val="28"/>
              <w:szCs w:val="28"/>
              <w:lang w:val="zh-CN"/>
            </w:rPr>
            <w:fldChar w:fldCharType="separate"/>
          </w:r>
          <w:hyperlink w:anchor="_Toc27176" w:history="1">
            <w:r w:rsidR="00FD0360">
              <w:rPr>
                <w:rFonts w:hint="eastAsia"/>
                <w:b/>
                <w:bCs/>
              </w:rPr>
              <w:t>第一章</w:t>
            </w:r>
            <w:r w:rsidR="00FD0360">
              <w:rPr>
                <w:rFonts w:hint="eastAsia"/>
                <w:b/>
                <w:bCs/>
              </w:rPr>
              <w:t xml:space="preserve"> </w:t>
            </w:r>
            <w:r w:rsidR="00FD0360">
              <w:rPr>
                <w:rFonts w:hint="eastAsia"/>
                <w:b/>
                <w:bCs/>
              </w:rPr>
              <w:t>关于本报告</w:t>
            </w:r>
            <w:r w:rsidR="00FD0360">
              <w:rPr>
                <w:b/>
                <w:bCs/>
              </w:rPr>
              <w:tab/>
            </w:r>
            <w:r>
              <w:rPr>
                <w:b/>
                <w:bCs/>
              </w:rPr>
              <w:fldChar w:fldCharType="begin"/>
            </w:r>
            <w:r w:rsidR="00FD0360">
              <w:rPr>
                <w:b/>
                <w:bCs/>
              </w:rPr>
              <w:instrText xml:space="preserve"> PAGEREF _Toc27176 \h </w:instrText>
            </w:r>
            <w:r>
              <w:rPr>
                <w:b/>
                <w:bCs/>
              </w:rPr>
            </w:r>
            <w:r>
              <w:rPr>
                <w:b/>
                <w:bCs/>
              </w:rPr>
              <w:fldChar w:fldCharType="separate"/>
            </w:r>
            <w:r w:rsidR="00FD0360">
              <w:rPr>
                <w:b/>
                <w:bCs/>
              </w:rPr>
              <w:t>1</w:t>
            </w:r>
            <w:r>
              <w:rPr>
                <w:b/>
                <w:bCs/>
              </w:rPr>
              <w:fldChar w:fldCharType="end"/>
            </w:r>
          </w:hyperlink>
        </w:p>
        <w:p w:rsidR="00D00D0B" w:rsidRDefault="004C77AE">
          <w:pPr>
            <w:pStyle w:val="2"/>
            <w:tabs>
              <w:tab w:val="right" w:leader="dot" w:pos="8306"/>
            </w:tabs>
          </w:pPr>
          <w:hyperlink w:anchor="_Toc11485" w:history="1">
            <w:r w:rsidR="00FD0360">
              <w:rPr>
                <w:rFonts w:hint="eastAsia"/>
              </w:rPr>
              <w:t xml:space="preserve">1.1 </w:t>
            </w:r>
            <w:r w:rsidR="00FD0360">
              <w:rPr>
                <w:rFonts w:hint="eastAsia"/>
              </w:rPr>
              <w:t>报告主体</w:t>
            </w:r>
            <w:r w:rsidR="00FD0360">
              <w:tab/>
            </w:r>
            <w:r>
              <w:fldChar w:fldCharType="begin"/>
            </w:r>
            <w:r w:rsidR="00FD0360">
              <w:instrText xml:space="preserve"> PAGEREF _Toc11485 \h </w:instrText>
            </w:r>
            <w:r>
              <w:fldChar w:fldCharType="separate"/>
            </w:r>
            <w:r w:rsidR="00FD0360">
              <w:t>1</w:t>
            </w:r>
            <w:r>
              <w:fldChar w:fldCharType="end"/>
            </w:r>
          </w:hyperlink>
        </w:p>
        <w:p w:rsidR="00D00D0B" w:rsidRDefault="004C77AE">
          <w:pPr>
            <w:pStyle w:val="2"/>
            <w:tabs>
              <w:tab w:val="right" w:leader="dot" w:pos="8306"/>
            </w:tabs>
          </w:pPr>
          <w:hyperlink w:anchor="_Toc25152" w:history="1">
            <w:r w:rsidR="00FD0360">
              <w:rPr>
                <w:rFonts w:hint="eastAsia"/>
              </w:rPr>
              <w:t xml:space="preserve">1.2 </w:t>
            </w:r>
            <w:r w:rsidR="00FD0360">
              <w:rPr>
                <w:rFonts w:hint="eastAsia"/>
              </w:rPr>
              <w:t>报告边界</w:t>
            </w:r>
            <w:r w:rsidR="00FD0360">
              <w:tab/>
            </w:r>
            <w:r>
              <w:fldChar w:fldCharType="begin"/>
            </w:r>
            <w:r w:rsidR="00FD0360">
              <w:instrText xml:space="preserve"> PAGEREF _Toc25152 \h </w:instrText>
            </w:r>
            <w:r>
              <w:fldChar w:fldCharType="separate"/>
            </w:r>
            <w:r w:rsidR="00FD0360">
              <w:t>1</w:t>
            </w:r>
            <w:r>
              <w:fldChar w:fldCharType="end"/>
            </w:r>
          </w:hyperlink>
        </w:p>
        <w:p w:rsidR="00D00D0B" w:rsidRDefault="004C77AE">
          <w:pPr>
            <w:pStyle w:val="2"/>
            <w:tabs>
              <w:tab w:val="right" w:leader="dot" w:pos="8306"/>
            </w:tabs>
          </w:pPr>
          <w:hyperlink w:anchor="_Toc17538" w:history="1">
            <w:r w:rsidR="00FD0360">
              <w:rPr>
                <w:rFonts w:hint="eastAsia"/>
              </w:rPr>
              <w:t xml:space="preserve">1.3 </w:t>
            </w:r>
            <w:r w:rsidR="00FD0360">
              <w:rPr>
                <w:rFonts w:hint="eastAsia"/>
              </w:rPr>
              <w:t>编制依据</w:t>
            </w:r>
            <w:r w:rsidR="00FD0360">
              <w:tab/>
            </w:r>
            <w:r>
              <w:fldChar w:fldCharType="begin"/>
            </w:r>
            <w:r w:rsidR="00FD0360">
              <w:instrText xml:space="preserve"> PAGEREF _Toc17538 \h </w:instrText>
            </w:r>
            <w:r>
              <w:fldChar w:fldCharType="separate"/>
            </w:r>
            <w:r w:rsidR="00FD0360">
              <w:t>1</w:t>
            </w:r>
            <w:r>
              <w:fldChar w:fldCharType="end"/>
            </w:r>
          </w:hyperlink>
        </w:p>
        <w:p w:rsidR="00D00D0B" w:rsidRDefault="004C77AE">
          <w:pPr>
            <w:pStyle w:val="10"/>
            <w:tabs>
              <w:tab w:val="right" w:leader="dot" w:pos="8306"/>
            </w:tabs>
            <w:rPr>
              <w:b/>
              <w:bCs/>
            </w:rPr>
          </w:pPr>
          <w:hyperlink w:anchor="_Toc26029" w:history="1">
            <w:r w:rsidR="00FD0360">
              <w:rPr>
                <w:rFonts w:hint="eastAsia"/>
                <w:b/>
                <w:bCs/>
              </w:rPr>
              <w:t>第二章</w:t>
            </w:r>
            <w:r w:rsidR="00FD0360">
              <w:rPr>
                <w:rFonts w:hint="eastAsia"/>
                <w:b/>
                <w:bCs/>
              </w:rPr>
              <w:t xml:space="preserve"> </w:t>
            </w:r>
            <w:r w:rsidR="00FD0360">
              <w:rPr>
                <w:rFonts w:hint="eastAsia"/>
                <w:b/>
                <w:bCs/>
              </w:rPr>
              <w:t>气候风险识别分析</w:t>
            </w:r>
            <w:r w:rsidR="00FD0360">
              <w:rPr>
                <w:b/>
                <w:bCs/>
              </w:rPr>
              <w:tab/>
            </w:r>
            <w:r>
              <w:rPr>
                <w:b/>
                <w:bCs/>
              </w:rPr>
              <w:fldChar w:fldCharType="begin"/>
            </w:r>
            <w:r w:rsidR="00FD0360">
              <w:rPr>
                <w:b/>
                <w:bCs/>
              </w:rPr>
              <w:instrText xml:space="preserve"> PAGEREF _Toc26029 \h </w:instrText>
            </w:r>
            <w:r>
              <w:rPr>
                <w:b/>
                <w:bCs/>
              </w:rPr>
            </w:r>
            <w:r>
              <w:rPr>
                <w:b/>
                <w:bCs/>
              </w:rPr>
              <w:fldChar w:fldCharType="separate"/>
            </w:r>
            <w:r w:rsidR="00FD0360">
              <w:rPr>
                <w:b/>
                <w:bCs/>
              </w:rPr>
              <w:t>2</w:t>
            </w:r>
            <w:r>
              <w:rPr>
                <w:b/>
                <w:bCs/>
              </w:rPr>
              <w:fldChar w:fldCharType="end"/>
            </w:r>
          </w:hyperlink>
        </w:p>
        <w:p w:rsidR="00D00D0B" w:rsidRDefault="004C77AE">
          <w:pPr>
            <w:pStyle w:val="2"/>
            <w:tabs>
              <w:tab w:val="right" w:leader="dot" w:pos="8306"/>
            </w:tabs>
          </w:pPr>
          <w:hyperlink w:anchor="_Toc31942" w:history="1">
            <w:r w:rsidR="00FD0360">
              <w:rPr>
                <w:rFonts w:hint="eastAsia"/>
              </w:rPr>
              <w:t xml:space="preserve">2.1 </w:t>
            </w:r>
            <w:r w:rsidR="00FD0360">
              <w:rPr>
                <w:rFonts w:hint="eastAsia"/>
              </w:rPr>
              <w:t>物理风险</w:t>
            </w:r>
            <w:r w:rsidR="00FD0360">
              <w:tab/>
            </w:r>
            <w:r>
              <w:fldChar w:fldCharType="begin"/>
            </w:r>
            <w:r w:rsidR="00FD0360">
              <w:instrText xml:space="preserve"> PAGEREF _Toc31942 \h </w:instrText>
            </w:r>
            <w:r>
              <w:fldChar w:fldCharType="separate"/>
            </w:r>
            <w:r w:rsidR="00FD0360">
              <w:t>2</w:t>
            </w:r>
            <w:r>
              <w:fldChar w:fldCharType="end"/>
            </w:r>
          </w:hyperlink>
        </w:p>
        <w:p w:rsidR="00D00D0B" w:rsidRDefault="004C77AE">
          <w:pPr>
            <w:pStyle w:val="2"/>
            <w:tabs>
              <w:tab w:val="right" w:leader="dot" w:pos="8306"/>
            </w:tabs>
          </w:pPr>
          <w:hyperlink w:anchor="_Toc4188" w:history="1">
            <w:r w:rsidR="00FD0360">
              <w:rPr>
                <w:rFonts w:hint="eastAsia"/>
              </w:rPr>
              <w:t xml:space="preserve">2.2 </w:t>
            </w:r>
            <w:r w:rsidR="00FD0360">
              <w:rPr>
                <w:rFonts w:hint="eastAsia"/>
              </w:rPr>
              <w:t>转型风险</w:t>
            </w:r>
            <w:r w:rsidR="00FD0360">
              <w:tab/>
            </w:r>
            <w:r>
              <w:fldChar w:fldCharType="begin"/>
            </w:r>
            <w:r w:rsidR="00FD0360">
              <w:instrText xml:space="preserve"> PAGEREF _Toc4188 \h </w:instrText>
            </w:r>
            <w:r>
              <w:fldChar w:fldCharType="separate"/>
            </w:r>
            <w:r w:rsidR="00FD0360">
              <w:t>4</w:t>
            </w:r>
            <w:r>
              <w:fldChar w:fldCharType="end"/>
            </w:r>
          </w:hyperlink>
        </w:p>
        <w:p w:rsidR="00D00D0B" w:rsidRDefault="004C77AE">
          <w:pPr>
            <w:pStyle w:val="2"/>
            <w:tabs>
              <w:tab w:val="right" w:leader="dot" w:pos="8306"/>
            </w:tabs>
          </w:pPr>
          <w:hyperlink w:anchor="_Toc12520" w:history="1">
            <w:r w:rsidR="00FD0360">
              <w:rPr>
                <w:rFonts w:hint="eastAsia"/>
              </w:rPr>
              <w:t xml:space="preserve">2.3 </w:t>
            </w:r>
            <w:r w:rsidR="00FD0360">
              <w:rPr>
                <w:rFonts w:hint="eastAsia"/>
              </w:rPr>
              <w:t>气候风险传导机制</w:t>
            </w:r>
            <w:r w:rsidR="00FD0360">
              <w:tab/>
            </w:r>
            <w:r>
              <w:fldChar w:fldCharType="begin"/>
            </w:r>
            <w:r w:rsidR="00FD0360">
              <w:instrText xml:space="preserve"> PAGEREF _Toc12520 \h </w:instrText>
            </w:r>
            <w:r>
              <w:fldChar w:fldCharType="separate"/>
            </w:r>
            <w:r w:rsidR="00FD0360">
              <w:t>4</w:t>
            </w:r>
            <w:r>
              <w:fldChar w:fldCharType="end"/>
            </w:r>
          </w:hyperlink>
        </w:p>
        <w:p w:rsidR="00D00D0B" w:rsidRDefault="004C77AE">
          <w:pPr>
            <w:pStyle w:val="10"/>
            <w:tabs>
              <w:tab w:val="right" w:leader="dot" w:pos="8306"/>
            </w:tabs>
            <w:rPr>
              <w:b/>
              <w:bCs/>
            </w:rPr>
          </w:pPr>
          <w:hyperlink w:anchor="_Toc19339" w:history="1">
            <w:r w:rsidR="00FD0360">
              <w:rPr>
                <w:rFonts w:hint="eastAsia"/>
                <w:b/>
                <w:bCs/>
              </w:rPr>
              <w:t>第三章</w:t>
            </w:r>
            <w:r w:rsidR="00FD0360">
              <w:rPr>
                <w:rFonts w:hint="eastAsia"/>
                <w:b/>
                <w:bCs/>
              </w:rPr>
              <w:t xml:space="preserve"> </w:t>
            </w:r>
            <w:r w:rsidR="00FD0360">
              <w:rPr>
                <w:rFonts w:hint="eastAsia"/>
                <w:b/>
                <w:bCs/>
              </w:rPr>
              <w:t>气候风险评估方法</w:t>
            </w:r>
            <w:r w:rsidR="00FD0360">
              <w:rPr>
                <w:b/>
                <w:bCs/>
              </w:rPr>
              <w:tab/>
            </w:r>
            <w:r>
              <w:rPr>
                <w:b/>
                <w:bCs/>
              </w:rPr>
              <w:fldChar w:fldCharType="begin"/>
            </w:r>
            <w:r w:rsidR="00FD0360">
              <w:rPr>
                <w:b/>
                <w:bCs/>
              </w:rPr>
              <w:instrText xml:space="preserve"> PAGEREF _Toc19339 \h </w:instrText>
            </w:r>
            <w:r>
              <w:rPr>
                <w:b/>
                <w:bCs/>
              </w:rPr>
            </w:r>
            <w:r>
              <w:rPr>
                <w:b/>
                <w:bCs/>
              </w:rPr>
              <w:fldChar w:fldCharType="separate"/>
            </w:r>
            <w:r w:rsidR="00FD0360">
              <w:rPr>
                <w:b/>
                <w:bCs/>
              </w:rPr>
              <w:t>6</w:t>
            </w:r>
            <w:r>
              <w:rPr>
                <w:b/>
                <w:bCs/>
              </w:rPr>
              <w:fldChar w:fldCharType="end"/>
            </w:r>
          </w:hyperlink>
        </w:p>
        <w:p w:rsidR="00D00D0B" w:rsidRDefault="004C77AE">
          <w:pPr>
            <w:pStyle w:val="2"/>
            <w:tabs>
              <w:tab w:val="right" w:leader="dot" w:pos="8306"/>
            </w:tabs>
          </w:pPr>
          <w:hyperlink w:anchor="_Toc7230" w:history="1">
            <w:r w:rsidR="00FD0360">
              <w:rPr>
                <w:rFonts w:hint="eastAsia"/>
              </w:rPr>
              <w:t xml:space="preserve">3.1 </w:t>
            </w:r>
            <w:r w:rsidR="00FD0360">
              <w:rPr>
                <w:rFonts w:hint="eastAsia"/>
              </w:rPr>
              <w:t>物理风险评估过程</w:t>
            </w:r>
            <w:r w:rsidR="00FD0360">
              <w:tab/>
            </w:r>
            <w:r>
              <w:fldChar w:fldCharType="begin"/>
            </w:r>
            <w:r w:rsidR="00FD0360">
              <w:instrText xml:space="preserve"> PAGEREF _Toc7230 \h </w:instrText>
            </w:r>
            <w:r>
              <w:fldChar w:fldCharType="separate"/>
            </w:r>
            <w:r w:rsidR="00FD0360">
              <w:t>6</w:t>
            </w:r>
            <w:r>
              <w:fldChar w:fldCharType="end"/>
            </w:r>
          </w:hyperlink>
        </w:p>
        <w:p w:rsidR="00D00D0B" w:rsidRDefault="004C77AE">
          <w:pPr>
            <w:pStyle w:val="2"/>
            <w:tabs>
              <w:tab w:val="right" w:leader="dot" w:pos="8306"/>
            </w:tabs>
          </w:pPr>
          <w:hyperlink w:anchor="_Toc18434" w:history="1">
            <w:r w:rsidR="00FD0360">
              <w:rPr>
                <w:rFonts w:hint="eastAsia"/>
              </w:rPr>
              <w:t xml:space="preserve">3.2 </w:t>
            </w:r>
            <w:r w:rsidR="00FD0360">
              <w:rPr>
                <w:rFonts w:hint="eastAsia"/>
              </w:rPr>
              <w:t>转型风险评估过程</w:t>
            </w:r>
            <w:r w:rsidR="00FD0360">
              <w:tab/>
            </w:r>
            <w:r>
              <w:fldChar w:fldCharType="begin"/>
            </w:r>
            <w:r w:rsidR="00FD0360">
              <w:instrText xml:space="preserve"> PAGEREF _Toc18434 \h </w:instrText>
            </w:r>
            <w:r>
              <w:fldChar w:fldCharType="separate"/>
            </w:r>
            <w:r w:rsidR="00FD0360">
              <w:t>10</w:t>
            </w:r>
            <w:r>
              <w:fldChar w:fldCharType="end"/>
            </w:r>
          </w:hyperlink>
        </w:p>
        <w:p w:rsidR="00D00D0B" w:rsidRDefault="004C77AE">
          <w:pPr>
            <w:pStyle w:val="10"/>
            <w:tabs>
              <w:tab w:val="right" w:leader="dot" w:pos="8306"/>
            </w:tabs>
            <w:rPr>
              <w:b/>
              <w:bCs/>
            </w:rPr>
          </w:pPr>
          <w:hyperlink w:anchor="_Toc11283" w:history="1">
            <w:r w:rsidR="00FD0360">
              <w:rPr>
                <w:rFonts w:hint="eastAsia"/>
                <w:b/>
                <w:bCs/>
              </w:rPr>
              <w:t>第四章</w:t>
            </w:r>
            <w:r w:rsidR="00FD0360">
              <w:rPr>
                <w:rFonts w:hint="eastAsia"/>
                <w:b/>
                <w:bCs/>
              </w:rPr>
              <w:t xml:space="preserve"> </w:t>
            </w:r>
            <w:r w:rsidR="00FD0360">
              <w:rPr>
                <w:rFonts w:hint="eastAsia"/>
                <w:b/>
                <w:bCs/>
              </w:rPr>
              <w:t>气候风险评估结果</w:t>
            </w:r>
            <w:r w:rsidR="00FD0360">
              <w:rPr>
                <w:b/>
                <w:bCs/>
              </w:rPr>
              <w:tab/>
            </w:r>
            <w:r>
              <w:rPr>
                <w:b/>
                <w:bCs/>
              </w:rPr>
              <w:fldChar w:fldCharType="begin"/>
            </w:r>
            <w:r w:rsidR="00FD0360">
              <w:rPr>
                <w:b/>
                <w:bCs/>
              </w:rPr>
              <w:instrText xml:space="preserve"> PAGEREF _Toc11283 \h </w:instrText>
            </w:r>
            <w:r>
              <w:rPr>
                <w:b/>
                <w:bCs/>
              </w:rPr>
            </w:r>
            <w:r>
              <w:rPr>
                <w:b/>
                <w:bCs/>
              </w:rPr>
              <w:fldChar w:fldCharType="separate"/>
            </w:r>
            <w:r w:rsidR="00FD0360">
              <w:rPr>
                <w:b/>
                <w:bCs/>
              </w:rPr>
              <w:t>1</w:t>
            </w:r>
            <w:r w:rsidR="00FD0360">
              <w:rPr>
                <w:rFonts w:hint="eastAsia"/>
                <w:b/>
                <w:bCs/>
              </w:rPr>
              <w:t>2</w:t>
            </w:r>
            <w:r>
              <w:rPr>
                <w:b/>
                <w:bCs/>
              </w:rPr>
              <w:fldChar w:fldCharType="end"/>
            </w:r>
          </w:hyperlink>
        </w:p>
        <w:p w:rsidR="00D00D0B" w:rsidRDefault="004C77AE">
          <w:pPr>
            <w:pStyle w:val="2"/>
            <w:tabs>
              <w:tab w:val="right" w:leader="dot" w:pos="8306"/>
            </w:tabs>
          </w:pPr>
          <w:hyperlink w:anchor="_Toc18168" w:history="1">
            <w:r w:rsidR="00FD0360">
              <w:rPr>
                <w:rFonts w:hint="eastAsia"/>
              </w:rPr>
              <w:t xml:space="preserve">4.1 </w:t>
            </w:r>
            <w:r w:rsidR="00FD0360">
              <w:rPr>
                <w:rFonts w:hint="eastAsia"/>
              </w:rPr>
              <w:t>物理风险评估结果</w:t>
            </w:r>
            <w:r w:rsidR="00FD0360">
              <w:tab/>
            </w:r>
            <w:r>
              <w:fldChar w:fldCharType="begin"/>
            </w:r>
            <w:r w:rsidR="00FD0360">
              <w:instrText xml:space="preserve"> PAGEREF _Toc18168 \h </w:instrText>
            </w:r>
            <w:r>
              <w:fldChar w:fldCharType="separate"/>
            </w:r>
            <w:r w:rsidR="00FD0360">
              <w:t>1</w:t>
            </w:r>
            <w:r w:rsidR="00FD0360">
              <w:rPr>
                <w:rFonts w:hint="eastAsia"/>
              </w:rPr>
              <w:t>2</w:t>
            </w:r>
            <w:r>
              <w:fldChar w:fldCharType="end"/>
            </w:r>
          </w:hyperlink>
        </w:p>
        <w:p w:rsidR="00D00D0B" w:rsidRDefault="004C77AE">
          <w:pPr>
            <w:pStyle w:val="2"/>
            <w:tabs>
              <w:tab w:val="right" w:leader="dot" w:pos="8306"/>
            </w:tabs>
          </w:pPr>
          <w:hyperlink w:anchor="_Toc26994" w:history="1">
            <w:r w:rsidR="00FD0360">
              <w:rPr>
                <w:rFonts w:hint="eastAsia"/>
              </w:rPr>
              <w:t xml:space="preserve">4.2 </w:t>
            </w:r>
            <w:r w:rsidR="00FD0360">
              <w:rPr>
                <w:rFonts w:hint="eastAsia"/>
              </w:rPr>
              <w:t>转型风险评估结果</w:t>
            </w:r>
            <w:r w:rsidR="00FD0360">
              <w:tab/>
            </w:r>
            <w:r>
              <w:fldChar w:fldCharType="begin"/>
            </w:r>
            <w:r w:rsidR="00FD0360">
              <w:instrText xml:space="preserve"> PAGEREF _Toc26994 \h </w:instrText>
            </w:r>
            <w:r>
              <w:fldChar w:fldCharType="separate"/>
            </w:r>
            <w:r w:rsidR="00FD0360">
              <w:t>12</w:t>
            </w:r>
            <w:r>
              <w:fldChar w:fldCharType="end"/>
            </w:r>
          </w:hyperlink>
        </w:p>
        <w:p w:rsidR="00D00D0B" w:rsidRDefault="004C77AE">
          <w:pPr>
            <w:pStyle w:val="10"/>
            <w:tabs>
              <w:tab w:val="right" w:leader="dot" w:pos="8306"/>
            </w:tabs>
            <w:rPr>
              <w:b/>
              <w:bCs/>
            </w:rPr>
          </w:pPr>
          <w:hyperlink w:anchor="_Toc3892" w:history="1">
            <w:r w:rsidR="00FD0360">
              <w:rPr>
                <w:rFonts w:hint="eastAsia"/>
                <w:b/>
                <w:bCs/>
              </w:rPr>
              <w:t>第五章</w:t>
            </w:r>
            <w:r w:rsidR="00FD0360">
              <w:rPr>
                <w:rFonts w:hint="eastAsia"/>
                <w:b/>
                <w:bCs/>
              </w:rPr>
              <w:t xml:space="preserve"> </w:t>
            </w:r>
            <w:r w:rsidR="00FD0360">
              <w:rPr>
                <w:rFonts w:hint="eastAsia"/>
                <w:b/>
                <w:bCs/>
              </w:rPr>
              <w:t>总结</w:t>
            </w:r>
            <w:r w:rsidR="00FD0360">
              <w:rPr>
                <w:b/>
                <w:bCs/>
              </w:rPr>
              <w:tab/>
            </w:r>
            <w:r>
              <w:rPr>
                <w:b/>
                <w:bCs/>
              </w:rPr>
              <w:fldChar w:fldCharType="begin"/>
            </w:r>
            <w:r w:rsidR="00FD0360">
              <w:rPr>
                <w:b/>
                <w:bCs/>
              </w:rPr>
              <w:instrText xml:space="preserve"> PAGEREF _Toc3892 \h </w:instrText>
            </w:r>
            <w:r>
              <w:rPr>
                <w:b/>
                <w:bCs/>
              </w:rPr>
            </w:r>
            <w:r>
              <w:rPr>
                <w:b/>
                <w:bCs/>
              </w:rPr>
              <w:fldChar w:fldCharType="separate"/>
            </w:r>
            <w:r w:rsidR="00FD0360">
              <w:rPr>
                <w:b/>
                <w:bCs/>
              </w:rPr>
              <w:t>1</w:t>
            </w:r>
            <w:r w:rsidR="00FD0360">
              <w:rPr>
                <w:rFonts w:hint="eastAsia"/>
                <w:b/>
                <w:bCs/>
              </w:rPr>
              <w:t>4</w:t>
            </w:r>
            <w:r>
              <w:rPr>
                <w:b/>
                <w:bCs/>
              </w:rPr>
              <w:fldChar w:fldCharType="end"/>
            </w:r>
          </w:hyperlink>
          <w:bookmarkStart w:id="0" w:name="_GoBack"/>
          <w:bookmarkEnd w:id="0"/>
        </w:p>
        <w:p w:rsidR="00D00D0B" w:rsidRDefault="004C77AE">
          <w:pPr>
            <w:pStyle w:val="10"/>
            <w:tabs>
              <w:tab w:val="right" w:leader="dot" w:pos="8320"/>
            </w:tabs>
            <w:adjustRightInd w:val="0"/>
            <w:snapToGrid w:val="0"/>
            <w:spacing w:after="0" w:line="360" w:lineRule="auto"/>
            <w:rPr>
              <w:bCs/>
              <w:color w:val="000000" w:themeColor="text1"/>
              <w:szCs w:val="28"/>
              <w:lang w:val="zh-CN"/>
            </w:rPr>
          </w:pPr>
          <w:r>
            <w:rPr>
              <w:rFonts w:hint="eastAsia"/>
              <w:bCs/>
              <w:color w:val="000000" w:themeColor="text1"/>
              <w:szCs w:val="28"/>
              <w:lang w:val="zh-CN"/>
            </w:rPr>
            <w:fldChar w:fldCharType="end"/>
          </w:r>
        </w:p>
      </w:sdtContent>
    </w:sdt>
    <w:p w:rsidR="00D00D0B" w:rsidRDefault="00D00D0B" w:rsidP="00DB75FB">
      <w:pPr>
        <w:ind w:firstLine="640"/>
        <w:rPr>
          <w:lang w:val="zh-CN"/>
        </w:rPr>
      </w:pPr>
    </w:p>
    <w:p w:rsidR="00D00D0B" w:rsidRDefault="00FD0360">
      <w:pPr>
        <w:pStyle w:val="2"/>
        <w:tabs>
          <w:tab w:val="right" w:leader="dot" w:pos="9897"/>
        </w:tabs>
        <w:adjustRightInd w:val="0"/>
        <w:snapToGrid w:val="0"/>
        <w:spacing w:line="240" w:lineRule="auto"/>
        <w:rPr>
          <w:bCs/>
          <w:color w:val="000000" w:themeColor="text1"/>
        </w:rPr>
      </w:pPr>
      <w:r>
        <w:rPr>
          <w:rFonts w:ascii="仿宋" w:eastAsia="仿宋" w:hAnsi="仿宋" w:cs="仿宋" w:hint="eastAsia"/>
          <w:bCs/>
          <w:color w:val="000000" w:themeColor="text1"/>
          <w:sz w:val="28"/>
          <w:szCs w:val="28"/>
          <w:lang w:val="zh-CN"/>
        </w:rPr>
        <w:br w:type="page"/>
      </w:r>
      <w:bookmarkStart w:id="1" w:name="_Toc146469063"/>
    </w:p>
    <w:bookmarkEnd w:id="1"/>
    <w:p w:rsidR="00D00D0B" w:rsidRDefault="00D00D0B">
      <w:pPr>
        <w:pStyle w:val="2"/>
        <w:numPr>
          <w:ilvl w:val="0"/>
          <w:numId w:val="5"/>
        </w:numPr>
        <w:tabs>
          <w:tab w:val="right" w:leader="dot" w:pos="9897"/>
        </w:tabs>
        <w:adjustRightInd w:val="0"/>
        <w:snapToGrid w:val="0"/>
        <w:spacing w:line="240" w:lineRule="auto"/>
        <w:ind w:left="0"/>
        <w:jc w:val="center"/>
        <w:rPr>
          <w:rFonts w:ascii="微软雅黑" w:eastAsia="微软雅黑" w:hAnsi="微软雅黑" w:cs="微软雅黑"/>
          <w:bCs/>
          <w:color w:val="000000" w:themeColor="text1"/>
          <w:kern w:val="2"/>
          <w:sz w:val="32"/>
          <w:szCs w:val="32"/>
        </w:rPr>
        <w:sectPr w:rsidR="00D00D0B">
          <w:headerReference w:type="even" r:id="rId15"/>
          <w:headerReference w:type="default" r:id="rId16"/>
          <w:footerReference w:type="even" r:id="rId17"/>
          <w:footerReference w:type="default" r:id="rId18"/>
          <w:headerReference w:type="first" r:id="rId19"/>
          <w:footerReference w:type="first" r:id="rId20"/>
          <w:pgSz w:w="11906" w:h="16838"/>
          <w:pgMar w:top="1440" w:right="1800" w:bottom="1440" w:left="1800" w:header="851" w:footer="992" w:gutter="0"/>
          <w:pgNumType w:start="0"/>
          <w:cols w:space="720"/>
          <w:titlePg/>
          <w:docGrid w:type="lines" w:linePitch="435"/>
        </w:sectPr>
      </w:pPr>
    </w:p>
    <w:p w:rsidR="00D00D0B" w:rsidRDefault="00FD0360">
      <w:pPr>
        <w:pStyle w:val="1"/>
      </w:pPr>
      <w:bookmarkStart w:id="2" w:name="_Toc27176"/>
      <w:r>
        <w:rPr>
          <w:rFonts w:hint="eastAsia"/>
        </w:rPr>
        <w:lastRenderedPageBreak/>
        <w:t>第一章 关于本报告</w:t>
      </w:r>
      <w:bookmarkEnd w:id="2"/>
    </w:p>
    <w:p w:rsidR="00D00D0B" w:rsidRDefault="00FD0360" w:rsidP="00DB75FB">
      <w:pPr>
        <w:pStyle w:val="20"/>
        <w:spacing w:before="156" w:after="62"/>
      </w:pPr>
      <w:bookmarkStart w:id="3" w:name="_Toc11485"/>
      <w:r>
        <w:rPr>
          <w:rFonts w:hint="eastAsia"/>
        </w:rPr>
        <w:t>1.1 报告主体</w:t>
      </w:r>
      <w:bookmarkEnd w:id="3"/>
    </w:p>
    <w:p w:rsidR="00D00D0B" w:rsidRDefault="00FD0360">
      <w:pPr>
        <w:widowControl/>
        <w:kinsoku w:val="0"/>
        <w:autoSpaceDE w:val="0"/>
        <w:autoSpaceDN w:val="0"/>
        <w:adjustRightInd w:val="0"/>
        <w:snapToGrid w:val="0"/>
        <w:spacing w:line="240" w:lineRule="auto"/>
        <w:ind w:firstLine="584"/>
        <w:textAlignment w:val="baseline"/>
        <w:rPr>
          <w:rFonts w:ascii="仿宋" w:eastAsia="仿宋" w:hAnsi="仿宋" w:cs="仿宋"/>
          <w:bCs/>
          <w:snapToGrid w:val="0"/>
          <w:color w:val="000000" w:themeColor="text1"/>
          <w:spacing w:val="6"/>
          <w:kern w:val="0"/>
          <w:sz w:val="28"/>
          <w:szCs w:val="28"/>
        </w:rPr>
      </w:pPr>
      <w:r>
        <w:rPr>
          <w:rFonts w:ascii="仿宋" w:eastAsia="仿宋" w:hAnsi="仿宋" w:cs="仿宋" w:hint="eastAsia"/>
          <w:bCs/>
          <w:snapToGrid w:val="0"/>
          <w:color w:val="000000" w:themeColor="text1"/>
          <w:spacing w:val="6"/>
          <w:kern w:val="0"/>
          <w:sz w:val="28"/>
          <w:szCs w:val="28"/>
        </w:rPr>
        <w:t>本报告是江苏句容农村商业银行股份有限公司（以下简称“本行”）单独发布的气候风险评估与压力测试报告。</w:t>
      </w:r>
    </w:p>
    <w:p w:rsidR="00D00D0B" w:rsidRDefault="00D00D0B">
      <w:pPr>
        <w:widowControl/>
        <w:kinsoku w:val="0"/>
        <w:autoSpaceDE w:val="0"/>
        <w:autoSpaceDN w:val="0"/>
        <w:adjustRightInd w:val="0"/>
        <w:snapToGrid w:val="0"/>
        <w:spacing w:line="240" w:lineRule="auto"/>
        <w:ind w:firstLine="584"/>
        <w:textAlignment w:val="baseline"/>
        <w:rPr>
          <w:rFonts w:ascii="仿宋" w:eastAsia="仿宋" w:hAnsi="仿宋" w:cs="仿宋"/>
          <w:bCs/>
          <w:snapToGrid w:val="0"/>
          <w:color w:val="000000" w:themeColor="text1"/>
          <w:spacing w:val="6"/>
          <w:kern w:val="0"/>
          <w:sz w:val="28"/>
          <w:szCs w:val="28"/>
        </w:rPr>
      </w:pPr>
    </w:p>
    <w:p w:rsidR="00D00D0B" w:rsidRDefault="00FD0360" w:rsidP="00DB75FB">
      <w:pPr>
        <w:pStyle w:val="20"/>
        <w:spacing w:before="156" w:after="62"/>
      </w:pPr>
      <w:bookmarkStart w:id="4" w:name="_Toc25152"/>
      <w:r>
        <w:rPr>
          <w:rFonts w:hint="eastAsia"/>
        </w:rPr>
        <w:t>1.2 报告边界</w:t>
      </w:r>
      <w:bookmarkEnd w:id="4"/>
    </w:p>
    <w:p w:rsidR="00D00D0B" w:rsidRDefault="00FD0360">
      <w:pPr>
        <w:widowControl/>
        <w:kinsoku w:val="0"/>
        <w:autoSpaceDE w:val="0"/>
        <w:autoSpaceDN w:val="0"/>
        <w:adjustRightInd w:val="0"/>
        <w:snapToGrid w:val="0"/>
        <w:spacing w:line="240" w:lineRule="auto"/>
        <w:ind w:firstLine="584"/>
        <w:textAlignment w:val="baseline"/>
        <w:rPr>
          <w:rFonts w:ascii="仿宋" w:eastAsia="仿宋" w:hAnsi="仿宋" w:cs="仿宋"/>
          <w:bCs/>
          <w:snapToGrid w:val="0"/>
          <w:color w:val="000000" w:themeColor="text1"/>
          <w:spacing w:val="6"/>
          <w:kern w:val="0"/>
          <w:sz w:val="28"/>
          <w:szCs w:val="28"/>
        </w:rPr>
      </w:pPr>
      <w:r>
        <w:rPr>
          <w:rFonts w:ascii="仿宋" w:eastAsia="仿宋" w:hAnsi="仿宋" w:cs="仿宋" w:hint="eastAsia"/>
          <w:bCs/>
          <w:snapToGrid w:val="0"/>
          <w:color w:val="000000" w:themeColor="text1"/>
          <w:spacing w:val="6"/>
          <w:kern w:val="0"/>
          <w:sz w:val="28"/>
          <w:szCs w:val="28"/>
        </w:rPr>
        <w:t>本报告以2023年1月1日至202</w:t>
      </w:r>
      <w:r>
        <w:rPr>
          <w:rFonts w:ascii="仿宋" w:eastAsia="仿宋" w:hAnsi="仿宋" w:cs="仿宋"/>
          <w:bCs/>
          <w:snapToGrid w:val="0"/>
          <w:color w:val="000000" w:themeColor="text1"/>
          <w:spacing w:val="6"/>
          <w:kern w:val="0"/>
          <w:sz w:val="28"/>
          <w:szCs w:val="28"/>
        </w:rPr>
        <w:t>4</w:t>
      </w:r>
      <w:r>
        <w:rPr>
          <w:rFonts w:ascii="仿宋" w:eastAsia="仿宋" w:hAnsi="仿宋" w:cs="仿宋" w:hint="eastAsia"/>
          <w:bCs/>
          <w:snapToGrid w:val="0"/>
          <w:color w:val="000000" w:themeColor="text1"/>
          <w:spacing w:val="6"/>
          <w:kern w:val="0"/>
          <w:sz w:val="28"/>
          <w:szCs w:val="28"/>
        </w:rPr>
        <w:t>年12月31日期间数据为基础开展气候风险评估及压力测试。本报告以江苏句容农村商业银行股份有限公司为主体，包含下辖分支机构数据。</w:t>
      </w:r>
    </w:p>
    <w:p w:rsidR="00D00D0B" w:rsidRDefault="00D00D0B">
      <w:pPr>
        <w:widowControl/>
        <w:kinsoku w:val="0"/>
        <w:autoSpaceDE w:val="0"/>
        <w:autoSpaceDN w:val="0"/>
        <w:adjustRightInd w:val="0"/>
        <w:snapToGrid w:val="0"/>
        <w:spacing w:line="240" w:lineRule="auto"/>
        <w:ind w:firstLine="584"/>
        <w:textAlignment w:val="baseline"/>
        <w:rPr>
          <w:rFonts w:ascii="仿宋" w:eastAsia="仿宋" w:hAnsi="仿宋" w:cs="仿宋"/>
          <w:bCs/>
          <w:snapToGrid w:val="0"/>
          <w:color w:val="000000" w:themeColor="text1"/>
          <w:spacing w:val="6"/>
          <w:kern w:val="0"/>
          <w:sz w:val="28"/>
          <w:szCs w:val="28"/>
        </w:rPr>
      </w:pPr>
    </w:p>
    <w:p w:rsidR="00D00D0B" w:rsidRDefault="00FD0360" w:rsidP="00DB75FB">
      <w:pPr>
        <w:pStyle w:val="20"/>
        <w:spacing w:before="156" w:after="62"/>
      </w:pPr>
      <w:bookmarkStart w:id="5" w:name="_Toc17538"/>
      <w:r>
        <w:rPr>
          <w:rFonts w:hint="eastAsia"/>
        </w:rPr>
        <w:t>1.3 编制依据</w:t>
      </w:r>
      <w:bookmarkEnd w:id="5"/>
    </w:p>
    <w:p w:rsidR="00D00D0B" w:rsidRDefault="00FD0360" w:rsidP="00CC58E9">
      <w:pPr>
        <w:widowControl/>
        <w:kinsoku w:val="0"/>
        <w:autoSpaceDE w:val="0"/>
        <w:autoSpaceDN w:val="0"/>
        <w:adjustRightInd w:val="0"/>
        <w:snapToGrid w:val="0"/>
        <w:spacing w:beforeLines="50" w:afterLines="20" w:line="240" w:lineRule="auto"/>
        <w:ind w:firstLine="584"/>
        <w:textAlignment w:val="baseline"/>
        <w:rPr>
          <w:rFonts w:ascii="黑体" w:eastAsia="黑体" w:hAnsi="黑体" w:cs="黑体"/>
          <w:bCs/>
          <w:snapToGrid w:val="0"/>
          <w:color w:val="000000" w:themeColor="text1"/>
          <w:spacing w:val="6"/>
          <w:kern w:val="0"/>
          <w:sz w:val="28"/>
          <w:szCs w:val="28"/>
        </w:rPr>
      </w:pPr>
      <w:r>
        <w:rPr>
          <w:rFonts w:ascii="黑体" w:eastAsia="黑体" w:hAnsi="黑体" w:cs="黑体" w:hint="eastAsia"/>
          <w:bCs/>
          <w:snapToGrid w:val="0"/>
          <w:color w:val="000000" w:themeColor="text1"/>
          <w:spacing w:val="6"/>
          <w:kern w:val="0"/>
          <w:sz w:val="28"/>
          <w:szCs w:val="28"/>
        </w:rPr>
        <w:t>1）《关于构建绿色金融体系的指导意见》</w:t>
      </w:r>
    </w:p>
    <w:p w:rsidR="00D00D0B" w:rsidRDefault="00FD0360">
      <w:pPr>
        <w:widowControl/>
        <w:kinsoku w:val="0"/>
        <w:autoSpaceDE w:val="0"/>
        <w:autoSpaceDN w:val="0"/>
        <w:adjustRightInd w:val="0"/>
        <w:snapToGrid w:val="0"/>
        <w:spacing w:line="240" w:lineRule="auto"/>
        <w:ind w:firstLine="584"/>
        <w:textAlignment w:val="baseline"/>
        <w:rPr>
          <w:rFonts w:ascii="仿宋" w:eastAsia="仿宋" w:hAnsi="仿宋" w:cs="仿宋"/>
          <w:bCs/>
          <w:snapToGrid w:val="0"/>
          <w:color w:val="000000" w:themeColor="text1"/>
          <w:spacing w:val="6"/>
          <w:kern w:val="0"/>
          <w:sz w:val="28"/>
          <w:szCs w:val="28"/>
        </w:rPr>
      </w:pPr>
      <w:r>
        <w:rPr>
          <w:rFonts w:ascii="仿宋" w:eastAsia="仿宋" w:hAnsi="仿宋" w:cs="仿宋" w:hint="eastAsia"/>
          <w:bCs/>
          <w:snapToGrid w:val="0"/>
          <w:color w:val="000000" w:themeColor="text1"/>
          <w:spacing w:val="6"/>
          <w:kern w:val="0"/>
          <w:sz w:val="28"/>
          <w:szCs w:val="28"/>
        </w:rPr>
        <w:t>2016年，中国人民银行、财政部等七部委印发《关于构建绿色金融体系的指导意见》（银发〔2016〕228号），明确要求支持银行和其他金融机构在开展信贷资产质量压力测试时，将环境和社会风险作为重要的影响因素，并在资产配置和内部定价中予以充分考虑。鼓励银行和其他金融机构对环境高风险领域的贷款和资产风险敞口进行评估，定量分析风险敞口在未来各种情景下对金融机构可能带来的信用和市场风险。</w:t>
      </w:r>
    </w:p>
    <w:p w:rsidR="00D00D0B" w:rsidRDefault="00FD0360" w:rsidP="00CC58E9">
      <w:pPr>
        <w:widowControl/>
        <w:kinsoku w:val="0"/>
        <w:autoSpaceDE w:val="0"/>
        <w:autoSpaceDN w:val="0"/>
        <w:adjustRightInd w:val="0"/>
        <w:snapToGrid w:val="0"/>
        <w:spacing w:beforeLines="50" w:afterLines="20" w:line="240" w:lineRule="auto"/>
        <w:ind w:firstLine="584"/>
        <w:textAlignment w:val="baseline"/>
        <w:rPr>
          <w:rFonts w:ascii="黑体" w:eastAsia="黑体" w:hAnsi="黑体" w:cs="黑体"/>
          <w:bCs/>
          <w:snapToGrid w:val="0"/>
          <w:color w:val="000000" w:themeColor="text1"/>
          <w:spacing w:val="6"/>
          <w:kern w:val="0"/>
          <w:sz w:val="28"/>
          <w:szCs w:val="28"/>
        </w:rPr>
      </w:pPr>
      <w:r>
        <w:rPr>
          <w:rFonts w:ascii="黑体" w:eastAsia="黑体" w:hAnsi="黑体" w:cs="黑体" w:hint="eastAsia"/>
          <w:bCs/>
          <w:snapToGrid w:val="0"/>
          <w:color w:val="000000" w:themeColor="text1"/>
          <w:spacing w:val="6"/>
          <w:kern w:val="0"/>
          <w:sz w:val="28"/>
          <w:szCs w:val="28"/>
        </w:rPr>
        <w:t>2）《中国货币政策执行报告（2021年第四季度）》</w:t>
      </w:r>
    </w:p>
    <w:p w:rsidR="00D00D0B" w:rsidRDefault="00FD0360">
      <w:pPr>
        <w:widowControl/>
        <w:kinsoku w:val="0"/>
        <w:autoSpaceDE w:val="0"/>
        <w:autoSpaceDN w:val="0"/>
        <w:adjustRightInd w:val="0"/>
        <w:snapToGrid w:val="0"/>
        <w:spacing w:line="240" w:lineRule="auto"/>
        <w:ind w:firstLine="584"/>
        <w:textAlignment w:val="baseline"/>
        <w:rPr>
          <w:rFonts w:ascii="仿宋" w:eastAsia="仿宋" w:hAnsi="仿宋" w:cs="仿宋"/>
          <w:bCs/>
          <w:snapToGrid w:val="0"/>
          <w:color w:val="000000" w:themeColor="text1"/>
          <w:spacing w:val="6"/>
          <w:kern w:val="0"/>
          <w:sz w:val="28"/>
          <w:szCs w:val="28"/>
        </w:rPr>
      </w:pPr>
      <w:r>
        <w:rPr>
          <w:rFonts w:ascii="仿宋" w:eastAsia="仿宋" w:hAnsi="仿宋" w:cs="仿宋" w:hint="eastAsia"/>
          <w:bCs/>
          <w:snapToGrid w:val="0"/>
          <w:color w:val="000000" w:themeColor="text1"/>
          <w:spacing w:val="6"/>
          <w:kern w:val="0"/>
          <w:sz w:val="28"/>
          <w:szCs w:val="28"/>
        </w:rPr>
        <w:t>2021年，中国人民银行在《中国货币政策执行报告（2021年第四季度）》中披露，2021年8月-11月，人民银行组织部分银行业金融机构开展气候风险敏感性压力测试，评估我国</w:t>
      </w:r>
      <w:proofErr w:type="gramStart"/>
      <w:r>
        <w:rPr>
          <w:rFonts w:ascii="仿宋" w:eastAsia="仿宋" w:hAnsi="仿宋" w:cs="仿宋" w:hint="eastAsia"/>
          <w:bCs/>
          <w:snapToGrid w:val="0"/>
          <w:color w:val="000000" w:themeColor="text1"/>
          <w:spacing w:val="6"/>
          <w:kern w:val="0"/>
          <w:sz w:val="28"/>
          <w:szCs w:val="28"/>
        </w:rPr>
        <w:t>碳达峰碳</w:t>
      </w:r>
      <w:proofErr w:type="gramEnd"/>
      <w:r>
        <w:rPr>
          <w:rFonts w:ascii="仿宋" w:eastAsia="仿宋" w:hAnsi="仿宋" w:cs="仿宋" w:hint="eastAsia"/>
          <w:bCs/>
          <w:snapToGrid w:val="0"/>
          <w:color w:val="000000" w:themeColor="text1"/>
          <w:spacing w:val="6"/>
          <w:kern w:val="0"/>
          <w:sz w:val="28"/>
          <w:szCs w:val="28"/>
        </w:rPr>
        <w:t>中和目标转型对银行体系的潜在影响，增强银行业金融机构管理气候变化相关风险的能力。</w:t>
      </w:r>
    </w:p>
    <w:p w:rsidR="00D00D0B" w:rsidRDefault="00FD0360" w:rsidP="00CC58E9">
      <w:pPr>
        <w:widowControl/>
        <w:kinsoku w:val="0"/>
        <w:autoSpaceDE w:val="0"/>
        <w:autoSpaceDN w:val="0"/>
        <w:adjustRightInd w:val="0"/>
        <w:snapToGrid w:val="0"/>
        <w:spacing w:beforeLines="50" w:afterLines="20" w:line="240" w:lineRule="auto"/>
        <w:ind w:firstLine="584"/>
        <w:textAlignment w:val="baseline"/>
        <w:rPr>
          <w:rFonts w:ascii="黑体" w:eastAsia="黑体" w:hAnsi="黑体" w:cs="黑体"/>
          <w:bCs/>
          <w:snapToGrid w:val="0"/>
          <w:color w:val="000000" w:themeColor="text1"/>
          <w:spacing w:val="6"/>
          <w:kern w:val="0"/>
          <w:sz w:val="28"/>
          <w:szCs w:val="28"/>
        </w:rPr>
      </w:pPr>
      <w:r>
        <w:rPr>
          <w:rFonts w:ascii="黑体" w:eastAsia="黑体" w:hAnsi="黑体" w:cs="黑体" w:hint="eastAsia"/>
          <w:bCs/>
          <w:snapToGrid w:val="0"/>
          <w:color w:val="000000" w:themeColor="text1"/>
          <w:spacing w:val="6"/>
          <w:kern w:val="0"/>
          <w:sz w:val="28"/>
          <w:szCs w:val="28"/>
        </w:rPr>
        <w:t>3）《关于加强金融气象协同联动服务经济社会高质量发展的指导意见》</w:t>
      </w:r>
    </w:p>
    <w:p w:rsidR="00D00D0B" w:rsidRDefault="00FD0360">
      <w:pPr>
        <w:widowControl/>
        <w:kinsoku w:val="0"/>
        <w:autoSpaceDE w:val="0"/>
        <w:autoSpaceDN w:val="0"/>
        <w:adjustRightInd w:val="0"/>
        <w:snapToGrid w:val="0"/>
        <w:spacing w:line="240" w:lineRule="auto"/>
        <w:ind w:firstLine="584"/>
        <w:textAlignment w:val="baseline"/>
        <w:rPr>
          <w:rFonts w:ascii="仿宋" w:eastAsia="仿宋" w:hAnsi="仿宋" w:cs="仿宋"/>
          <w:bCs/>
          <w:snapToGrid w:val="0"/>
          <w:color w:val="000000" w:themeColor="text1"/>
          <w:spacing w:val="6"/>
          <w:kern w:val="0"/>
          <w:sz w:val="28"/>
          <w:szCs w:val="28"/>
        </w:rPr>
      </w:pPr>
      <w:r>
        <w:rPr>
          <w:rFonts w:ascii="仿宋" w:eastAsia="仿宋" w:hAnsi="仿宋" w:cs="仿宋" w:hint="eastAsia"/>
          <w:bCs/>
          <w:snapToGrid w:val="0"/>
          <w:color w:val="000000" w:themeColor="text1"/>
          <w:spacing w:val="6"/>
          <w:kern w:val="0"/>
          <w:sz w:val="28"/>
          <w:szCs w:val="28"/>
        </w:rPr>
        <w:t>2024年，中国人民银行、中国气象局等七部委联合发布《关于加强金融气象协同联动服务经济社会高质量发展的指导意见》（气发〔2024〕125号），鼓励银行机构探索开展气候风险压力测试，研究极端天气气候事件和气象灾害对金融机构和金融市场的影响。研发气候风险压力测试模型与算法，逐步完善金融领域气候风险压力测试数据指标。推动典型区域针对农业、能源、交通等气象高敏感行业领域率先开展压力测试。</w:t>
      </w:r>
    </w:p>
    <w:p w:rsidR="00D00D0B" w:rsidRDefault="00FD0360" w:rsidP="00CC58E9">
      <w:pPr>
        <w:widowControl/>
        <w:kinsoku w:val="0"/>
        <w:autoSpaceDE w:val="0"/>
        <w:autoSpaceDN w:val="0"/>
        <w:adjustRightInd w:val="0"/>
        <w:snapToGrid w:val="0"/>
        <w:spacing w:beforeLines="50" w:afterLines="20" w:line="240" w:lineRule="auto"/>
        <w:ind w:firstLine="584"/>
        <w:textAlignment w:val="baseline"/>
        <w:rPr>
          <w:rFonts w:ascii="黑体" w:eastAsia="黑体" w:hAnsi="黑体" w:cs="黑体"/>
          <w:bCs/>
          <w:snapToGrid w:val="0"/>
          <w:color w:val="000000" w:themeColor="text1"/>
          <w:spacing w:val="6"/>
          <w:kern w:val="0"/>
          <w:sz w:val="28"/>
          <w:szCs w:val="28"/>
        </w:rPr>
      </w:pPr>
      <w:r>
        <w:rPr>
          <w:rFonts w:ascii="黑体" w:eastAsia="黑体" w:hAnsi="黑体" w:cs="黑体" w:hint="eastAsia"/>
          <w:bCs/>
          <w:snapToGrid w:val="0"/>
          <w:color w:val="000000" w:themeColor="text1"/>
          <w:spacing w:val="6"/>
          <w:kern w:val="0"/>
          <w:sz w:val="28"/>
          <w:szCs w:val="28"/>
        </w:rPr>
        <w:t>4）《银行业保险业绿色金融高质量发展实施方案》</w:t>
      </w:r>
    </w:p>
    <w:p w:rsidR="00D00D0B" w:rsidRDefault="00FD0360">
      <w:pPr>
        <w:widowControl/>
        <w:kinsoku w:val="0"/>
        <w:autoSpaceDE w:val="0"/>
        <w:autoSpaceDN w:val="0"/>
        <w:adjustRightInd w:val="0"/>
        <w:snapToGrid w:val="0"/>
        <w:spacing w:line="240" w:lineRule="auto"/>
        <w:ind w:firstLine="584"/>
        <w:textAlignment w:val="baseline"/>
        <w:rPr>
          <w:rFonts w:ascii="仿宋" w:eastAsia="仿宋" w:hAnsi="仿宋" w:cs="仿宋"/>
          <w:bCs/>
          <w:snapToGrid w:val="0"/>
          <w:color w:val="000000" w:themeColor="text1"/>
          <w:spacing w:val="6"/>
          <w:kern w:val="0"/>
          <w:sz w:val="28"/>
          <w:szCs w:val="28"/>
        </w:rPr>
      </w:pPr>
      <w:r>
        <w:rPr>
          <w:rFonts w:ascii="仿宋" w:eastAsia="仿宋" w:hAnsi="仿宋" w:cs="仿宋" w:hint="eastAsia"/>
          <w:bCs/>
          <w:snapToGrid w:val="0"/>
          <w:color w:val="000000" w:themeColor="text1"/>
          <w:spacing w:val="6"/>
          <w:kern w:val="0"/>
          <w:sz w:val="28"/>
          <w:szCs w:val="28"/>
        </w:rPr>
        <w:t>2025年，国家金融监督管理总局、中国人民银行印发《银行业保险业绿色金融高质量发展实施方案》（金办发〔2025〕15号），明确要求有效应对气候风险。银行保险机构要探索环境和气候相关风险管理方法、技术和工具</w:t>
      </w:r>
      <w:r>
        <w:rPr>
          <w:rFonts w:ascii="仿宋" w:eastAsia="仿宋" w:hAnsi="仿宋" w:cs="仿宋" w:hint="eastAsia"/>
          <w:bCs/>
          <w:snapToGrid w:val="0"/>
          <w:color w:val="000000" w:themeColor="text1"/>
          <w:spacing w:val="6"/>
          <w:kern w:val="0"/>
          <w:sz w:val="28"/>
          <w:szCs w:val="28"/>
        </w:rPr>
        <w:lastRenderedPageBreak/>
        <w:t>，在积累数据的基础上，分步分行业开展情景分析、压力测试，持续完善模型、参数，逐步将分析和测试结果与银行全面风险管理有机结合。加强对高碳资产的风险识别、评估和管理，稳妥应对转型风险。加强对物理风险的研究，探索评估重点行业和地区的物理风险暴露水平。保险公司要完善绿色保险有关风险评估模型，做好对气候变化、自然灾害等的风险分析。</w:t>
      </w:r>
    </w:p>
    <w:p w:rsidR="00D00D0B" w:rsidRDefault="00FD0360" w:rsidP="00CC58E9">
      <w:pPr>
        <w:widowControl/>
        <w:kinsoku w:val="0"/>
        <w:autoSpaceDE w:val="0"/>
        <w:autoSpaceDN w:val="0"/>
        <w:adjustRightInd w:val="0"/>
        <w:snapToGrid w:val="0"/>
        <w:spacing w:beforeLines="50" w:afterLines="20" w:line="240" w:lineRule="auto"/>
        <w:ind w:firstLine="584"/>
        <w:textAlignment w:val="baseline"/>
        <w:rPr>
          <w:rFonts w:ascii="黑体" w:eastAsia="黑体" w:hAnsi="黑体" w:cs="黑体"/>
          <w:bCs/>
          <w:snapToGrid w:val="0"/>
          <w:color w:val="000000" w:themeColor="text1"/>
          <w:spacing w:val="6"/>
          <w:kern w:val="0"/>
          <w:sz w:val="28"/>
          <w:szCs w:val="28"/>
        </w:rPr>
      </w:pPr>
      <w:r>
        <w:rPr>
          <w:rFonts w:ascii="黑体" w:eastAsia="黑体" w:hAnsi="黑体" w:cs="黑体" w:hint="eastAsia"/>
          <w:bCs/>
          <w:snapToGrid w:val="0"/>
          <w:color w:val="000000" w:themeColor="text1"/>
          <w:spacing w:val="6"/>
          <w:kern w:val="0"/>
          <w:sz w:val="28"/>
          <w:szCs w:val="28"/>
        </w:rPr>
        <w:t>5）《关于做好2024年度江苏省银行业金融机构环境信息披露工作的通知》</w:t>
      </w:r>
    </w:p>
    <w:p w:rsidR="00D00D0B" w:rsidRDefault="00FD0360">
      <w:pPr>
        <w:widowControl/>
        <w:kinsoku w:val="0"/>
        <w:autoSpaceDE w:val="0"/>
        <w:autoSpaceDN w:val="0"/>
        <w:adjustRightInd w:val="0"/>
        <w:snapToGrid w:val="0"/>
        <w:spacing w:line="240" w:lineRule="auto"/>
        <w:ind w:firstLine="584"/>
        <w:textAlignment w:val="baseline"/>
        <w:rPr>
          <w:rFonts w:ascii="黑体" w:eastAsia="黑体" w:hAnsi="黑体" w:cs="黑体"/>
          <w:bCs/>
          <w:color w:val="000000" w:themeColor="text1"/>
          <w:szCs w:val="32"/>
        </w:rPr>
      </w:pPr>
      <w:r>
        <w:rPr>
          <w:rFonts w:ascii="仿宋" w:eastAsia="仿宋" w:hAnsi="仿宋" w:cs="仿宋" w:hint="eastAsia"/>
          <w:bCs/>
          <w:snapToGrid w:val="0"/>
          <w:color w:val="000000" w:themeColor="text1"/>
          <w:spacing w:val="6"/>
          <w:kern w:val="0"/>
          <w:sz w:val="28"/>
          <w:szCs w:val="28"/>
        </w:rPr>
        <w:t>2025年，中国人民银行江苏省分行印发《关于做好2024年度江苏省银行业金融机构环境信息披露工作的通知》（苏银发〔2025〕20号），明确要求具备条件的金融机构应探索开展情景分析与压力测试，对贷款金额较大或贷款集中度较高的高碳行业企业和气候敏感型企业的气候风险进行量化评估，并测试极端情况下对金融机构资本充足性和业务稳健性的影响，提高识别和抵御气候风险的能力。</w:t>
      </w:r>
    </w:p>
    <w:p w:rsidR="00D00D0B" w:rsidRDefault="00D00D0B">
      <w:pPr>
        <w:pStyle w:val="2"/>
        <w:tabs>
          <w:tab w:val="right" w:leader="dot" w:pos="9897"/>
        </w:tabs>
        <w:adjustRightInd w:val="0"/>
        <w:snapToGrid w:val="0"/>
        <w:spacing w:line="360" w:lineRule="auto"/>
        <w:ind w:left="0"/>
        <w:jc w:val="center"/>
        <w:rPr>
          <w:rFonts w:ascii="黑体" w:eastAsia="黑体" w:hAnsi="黑体" w:cs="黑体"/>
          <w:bCs/>
          <w:color w:val="000000" w:themeColor="text1"/>
          <w:kern w:val="2"/>
          <w:sz w:val="32"/>
          <w:szCs w:val="32"/>
        </w:rPr>
      </w:pPr>
    </w:p>
    <w:p w:rsidR="00D00D0B" w:rsidRDefault="00FD0360">
      <w:pPr>
        <w:pStyle w:val="1"/>
      </w:pPr>
      <w:bookmarkStart w:id="6" w:name="_Toc26029"/>
      <w:r>
        <w:rPr>
          <w:rFonts w:hint="eastAsia"/>
        </w:rPr>
        <w:t>第二章 气候风险识别分析</w:t>
      </w:r>
      <w:bookmarkEnd w:id="6"/>
    </w:p>
    <w:p w:rsidR="00D00D0B" w:rsidRDefault="00FD0360" w:rsidP="00DB75FB">
      <w:pPr>
        <w:pStyle w:val="20"/>
        <w:spacing w:before="156" w:after="62"/>
      </w:pPr>
      <w:bookmarkStart w:id="7" w:name="_Toc31942"/>
      <w:r>
        <w:rPr>
          <w:rFonts w:hint="eastAsia"/>
        </w:rPr>
        <w:t>2.1 物理风险</w:t>
      </w:r>
      <w:bookmarkEnd w:id="7"/>
    </w:p>
    <w:p w:rsidR="00D00D0B" w:rsidRDefault="00FD0360">
      <w:pPr>
        <w:widowControl/>
        <w:kinsoku w:val="0"/>
        <w:autoSpaceDE w:val="0"/>
        <w:autoSpaceDN w:val="0"/>
        <w:adjustRightInd w:val="0"/>
        <w:snapToGrid w:val="0"/>
        <w:spacing w:line="240" w:lineRule="auto"/>
        <w:ind w:firstLine="584"/>
        <w:textAlignment w:val="baseline"/>
        <w:rPr>
          <w:rFonts w:ascii="仿宋" w:eastAsia="仿宋" w:hAnsi="仿宋" w:cs="仿宋"/>
          <w:bCs/>
          <w:snapToGrid w:val="0"/>
          <w:color w:val="000000" w:themeColor="text1"/>
          <w:spacing w:val="6"/>
          <w:kern w:val="0"/>
          <w:sz w:val="28"/>
          <w:szCs w:val="28"/>
        </w:rPr>
      </w:pPr>
      <w:r>
        <w:rPr>
          <w:rFonts w:ascii="仿宋" w:eastAsia="仿宋" w:hAnsi="仿宋" w:cs="仿宋" w:hint="eastAsia"/>
          <w:bCs/>
          <w:snapToGrid w:val="0"/>
          <w:color w:val="000000" w:themeColor="text1"/>
          <w:spacing w:val="6"/>
          <w:kern w:val="0"/>
          <w:sz w:val="28"/>
          <w:szCs w:val="28"/>
        </w:rPr>
        <w:t>在全球气候变化的大背景下，极端天气事件的发生频率和强度呈现显著上升趋势，对人类社会和自然环境造成了多维度的物理风险。本报告主要聚焦热浪、寒潮、台风三类典型极端天气事件，</w:t>
      </w:r>
      <w:proofErr w:type="gramStart"/>
      <w:r>
        <w:rPr>
          <w:rFonts w:ascii="仿宋" w:eastAsia="仿宋" w:hAnsi="仿宋" w:cs="仿宋" w:hint="eastAsia"/>
          <w:bCs/>
          <w:snapToGrid w:val="0"/>
          <w:color w:val="000000" w:themeColor="text1"/>
          <w:spacing w:val="6"/>
          <w:kern w:val="0"/>
          <w:sz w:val="28"/>
          <w:szCs w:val="28"/>
        </w:rPr>
        <w:t>基于世界</w:t>
      </w:r>
      <w:proofErr w:type="gramEnd"/>
      <w:r>
        <w:rPr>
          <w:rFonts w:ascii="仿宋" w:eastAsia="仿宋" w:hAnsi="仿宋" w:cs="仿宋" w:hint="eastAsia"/>
          <w:bCs/>
          <w:snapToGrid w:val="0"/>
          <w:color w:val="000000" w:themeColor="text1"/>
          <w:spacing w:val="6"/>
          <w:kern w:val="0"/>
          <w:sz w:val="28"/>
          <w:szCs w:val="28"/>
        </w:rPr>
        <w:t>气象组织（WMO）、政府间气候变化专门委员会（IPCC）第六次评估报告及各国灾害管理机构的权威数据，进行系统性的物理风险识别与分析。</w:t>
      </w:r>
    </w:p>
    <w:p w:rsidR="00D00D0B" w:rsidRDefault="00FD0360" w:rsidP="00DB75FB">
      <w:pPr>
        <w:pStyle w:val="3"/>
        <w:spacing w:before="156" w:after="62"/>
      </w:pPr>
      <w:r>
        <w:rPr>
          <w:rFonts w:hint="eastAsia"/>
        </w:rPr>
        <w:t>2.1.1 热浪灾害风险</w:t>
      </w:r>
    </w:p>
    <w:p w:rsidR="00D00D0B" w:rsidRDefault="00FD0360" w:rsidP="00CC58E9">
      <w:pPr>
        <w:widowControl/>
        <w:kinsoku w:val="0"/>
        <w:autoSpaceDE w:val="0"/>
        <w:autoSpaceDN w:val="0"/>
        <w:adjustRightInd w:val="0"/>
        <w:snapToGrid w:val="0"/>
        <w:spacing w:beforeLines="50" w:afterLines="20" w:line="240" w:lineRule="auto"/>
        <w:ind w:firstLine="584"/>
        <w:textAlignment w:val="baseline"/>
        <w:rPr>
          <w:rFonts w:ascii="黑体" w:eastAsia="黑体" w:hAnsi="黑体" w:cs="黑体"/>
          <w:bCs/>
          <w:snapToGrid w:val="0"/>
          <w:color w:val="000000" w:themeColor="text1"/>
          <w:spacing w:val="6"/>
          <w:kern w:val="0"/>
          <w:sz w:val="28"/>
          <w:szCs w:val="28"/>
        </w:rPr>
      </w:pPr>
      <w:r>
        <w:rPr>
          <w:rFonts w:ascii="黑体" w:eastAsia="黑体" w:hAnsi="黑体" w:cs="黑体" w:hint="eastAsia"/>
          <w:bCs/>
          <w:snapToGrid w:val="0"/>
          <w:color w:val="000000" w:themeColor="text1"/>
          <w:spacing w:val="6"/>
          <w:kern w:val="0"/>
          <w:sz w:val="28"/>
          <w:szCs w:val="28"/>
        </w:rPr>
        <w:t>1）致灾机理与时空分布</w:t>
      </w:r>
    </w:p>
    <w:p w:rsidR="00D00D0B" w:rsidRDefault="00FD0360">
      <w:pPr>
        <w:widowControl/>
        <w:kinsoku w:val="0"/>
        <w:autoSpaceDE w:val="0"/>
        <w:autoSpaceDN w:val="0"/>
        <w:adjustRightInd w:val="0"/>
        <w:snapToGrid w:val="0"/>
        <w:spacing w:line="240" w:lineRule="auto"/>
        <w:ind w:firstLine="584"/>
        <w:textAlignment w:val="baseline"/>
        <w:rPr>
          <w:rFonts w:ascii="仿宋" w:eastAsia="仿宋" w:hAnsi="仿宋" w:cs="仿宋"/>
          <w:bCs/>
          <w:snapToGrid w:val="0"/>
          <w:color w:val="000000" w:themeColor="text1"/>
          <w:spacing w:val="6"/>
          <w:kern w:val="0"/>
          <w:sz w:val="28"/>
          <w:szCs w:val="28"/>
        </w:rPr>
      </w:pPr>
      <w:r>
        <w:rPr>
          <w:rFonts w:ascii="仿宋" w:eastAsia="仿宋" w:hAnsi="仿宋" w:cs="仿宋" w:hint="eastAsia"/>
          <w:bCs/>
          <w:snapToGrid w:val="0"/>
          <w:color w:val="000000" w:themeColor="text1"/>
          <w:spacing w:val="6"/>
          <w:kern w:val="0"/>
          <w:sz w:val="28"/>
          <w:szCs w:val="28"/>
        </w:rPr>
        <w:t>热浪是指某一地区在一段较长时间内经历异常高温的天气现象，其形成与副热带高压异常增强、大气环流异常密切相关。IPCC报告显示，1951-2020 年全球陆地表面温度上升速率为每十年0.29℃，导致热浪发生频率较20世纪中叶增加了3倍以上。从地域分布看，北半球中纬度地区是热浪高发区域。</w:t>
      </w:r>
    </w:p>
    <w:p w:rsidR="00D00D0B" w:rsidRDefault="00FD0360" w:rsidP="00CC58E9">
      <w:pPr>
        <w:widowControl/>
        <w:kinsoku w:val="0"/>
        <w:autoSpaceDE w:val="0"/>
        <w:autoSpaceDN w:val="0"/>
        <w:adjustRightInd w:val="0"/>
        <w:snapToGrid w:val="0"/>
        <w:spacing w:beforeLines="50" w:afterLines="20" w:line="240" w:lineRule="auto"/>
        <w:ind w:firstLine="584"/>
        <w:textAlignment w:val="baseline"/>
        <w:rPr>
          <w:rFonts w:ascii="黑体" w:eastAsia="黑体" w:hAnsi="黑体" w:cs="黑体"/>
          <w:bCs/>
          <w:snapToGrid w:val="0"/>
          <w:color w:val="000000" w:themeColor="text1"/>
          <w:spacing w:val="6"/>
          <w:kern w:val="0"/>
          <w:sz w:val="28"/>
          <w:szCs w:val="28"/>
        </w:rPr>
      </w:pPr>
      <w:r>
        <w:rPr>
          <w:rFonts w:ascii="黑体" w:eastAsia="黑体" w:hAnsi="黑体" w:cs="黑体" w:hint="eastAsia"/>
          <w:bCs/>
          <w:snapToGrid w:val="0"/>
          <w:color w:val="000000" w:themeColor="text1"/>
          <w:spacing w:val="6"/>
          <w:kern w:val="0"/>
          <w:sz w:val="28"/>
          <w:szCs w:val="28"/>
        </w:rPr>
        <w:t>2）物理风险维度</w:t>
      </w:r>
    </w:p>
    <w:p w:rsidR="00D00D0B" w:rsidRDefault="00FD0360">
      <w:pPr>
        <w:widowControl/>
        <w:kinsoku w:val="0"/>
        <w:autoSpaceDE w:val="0"/>
        <w:autoSpaceDN w:val="0"/>
        <w:adjustRightInd w:val="0"/>
        <w:snapToGrid w:val="0"/>
        <w:spacing w:line="240" w:lineRule="auto"/>
        <w:ind w:firstLine="584"/>
        <w:textAlignment w:val="baseline"/>
        <w:rPr>
          <w:rFonts w:ascii="仿宋" w:eastAsia="仿宋" w:hAnsi="仿宋" w:cs="仿宋"/>
          <w:bCs/>
          <w:snapToGrid w:val="0"/>
          <w:color w:val="000000" w:themeColor="text1"/>
          <w:spacing w:val="6"/>
          <w:kern w:val="0"/>
          <w:sz w:val="28"/>
          <w:szCs w:val="28"/>
        </w:rPr>
      </w:pPr>
      <w:r>
        <w:rPr>
          <w:rFonts w:ascii="仿宋" w:eastAsia="仿宋" w:hAnsi="仿宋" w:cs="仿宋" w:hint="eastAsia"/>
          <w:bCs/>
          <w:snapToGrid w:val="0"/>
          <w:color w:val="000000" w:themeColor="text1"/>
          <w:spacing w:val="6"/>
          <w:kern w:val="0"/>
          <w:sz w:val="28"/>
          <w:szCs w:val="28"/>
        </w:rPr>
        <w:t>农业生产系统脆弱性：在作物生殖生长关键阶段（如授粉期/灌浆期），极端热浪事件通过高温热害机制导致光合同化效率下降，例如玉米吐丝-散粉间隔期延长引发受精障碍，最终致使籽粒结实率下降15%-20%（置信区间95%，p&lt;0.05）。</w:t>
      </w:r>
    </w:p>
    <w:p w:rsidR="00D00D0B" w:rsidRDefault="00FD0360">
      <w:pPr>
        <w:widowControl/>
        <w:kinsoku w:val="0"/>
        <w:autoSpaceDE w:val="0"/>
        <w:autoSpaceDN w:val="0"/>
        <w:adjustRightInd w:val="0"/>
        <w:snapToGrid w:val="0"/>
        <w:spacing w:line="240" w:lineRule="auto"/>
        <w:ind w:firstLine="584"/>
        <w:textAlignment w:val="baseline"/>
        <w:rPr>
          <w:rFonts w:ascii="仿宋" w:eastAsia="仿宋" w:hAnsi="仿宋" w:cs="仿宋"/>
          <w:bCs/>
          <w:snapToGrid w:val="0"/>
          <w:color w:val="000000" w:themeColor="text1"/>
          <w:spacing w:val="6"/>
          <w:kern w:val="0"/>
          <w:sz w:val="28"/>
          <w:szCs w:val="28"/>
        </w:rPr>
      </w:pPr>
      <w:r>
        <w:rPr>
          <w:rFonts w:ascii="仿宋" w:eastAsia="仿宋" w:hAnsi="仿宋" w:cs="仿宋" w:hint="eastAsia"/>
          <w:bCs/>
          <w:snapToGrid w:val="0"/>
          <w:color w:val="000000" w:themeColor="text1"/>
          <w:spacing w:val="6"/>
          <w:kern w:val="0"/>
          <w:sz w:val="28"/>
          <w:szCs w:val="28"/>
        </w:rPr>
        <w:t>渔业生产系统脆弱性：水产养殖方面，持续性高温胁迫导致虾蟹类甲壳动物代谢紊乱，具体影响路径包括：①鳃组织呼吸酶活性抑制致使溶氧摄取</w:t>
      </w:r>
      <w:r>
        <w:rPr>
          <w:rFonts w:ascii="仿宋" w:eastAsia="仿宋" w:hAnsi="仿宋" w:cs="仿宋" w:hint="eastAsia"/>
          <w:bCs/>
          <w:snapToGrid w:val="0"/>
          <w:color w:val="000000" w:themeColor="text1"/>
          <w:spacing w:val="6"/>
          <w:kern w:val="0"/>
          <w:sz w:val="28"/>
          <w:szCs w:val="28"/>
        </w:rPr>
        <w:lastRenderedPageBreak/>
        <w:t>效率降低28%；②外骨骼钙化进程受阻导致脱壳周期延长35%；③病原菌（如副溶血弧菌）繁殖速率提升2-3个数量级。模型测算显示，超过32℃临界温度持续7天，</w:t>
      </w:r>
      <w:proofErr w:type="gramStart"/>
      <w:r>
        <w:rPr>
          <w:rFonts w:ascii="仿宋" w:eastAsia="仿宋" w:hAnsi="仿宋" w:cs="仿宋" w:hint="eastAsia"/>
          <w:bCs/>
          <w:snapToGrid w:val="0"/>
          <w:color w:val="000000" w:themeColor="text1"/>
          <w:spacing w:val="6"/>
          <w:kern w:val="0"/>
          <w:sz w:val="28"/>
          <w:szCs w:val="28"/>
        </w:rPr>
        <w:t>凡纳滨对虾</w:t>
      </w:r>
      <w:proofErr w:type="gramEnd"/>
      <w:r>
        <w:rPr>
          <w:rFonts w:ascii="仿宋" w:eastAsia="仿宋" w:hAnsi="仿宋" w:cs="仿宋" w:hint="eastAsia"/>
          <w:bCs/>
          <w:snapToGrid w:val="0"/>
          <w:color w:val="000000" w:themeColor="text1"/>
          <w:spacing w:val="6"/>
          <w:kern w:val="0"/>
          <w:sz w:val="28"/>
          <w:szCs w:val="28"/>
        </w:rPr>
        <w:t>养殖周期延长18-22天，单位水体产量下降15%-20%（F检验显著性水平α=0.01）。</w:t>
      </w:r>
    </w:p>
    <w:p w:rsidR="00D00D0B" w:rsidRDefault="00FD0360">
      <w:pPr>
        <w:widowControl/>
        <w:kinsoku w:val="0"/>
        <w:autoSpaceDE w:val="0"/>
        <w:autoSpaceDN w:val="0"/>
        <w:adjustRightInd w:val="0"/>
        <w:snapToGrid w:val="0"/>
        <w:spacing w:line="240" w:lineRule="auto"/>
        <w:ind w:firstLine="584"/>
        <w:textAlignment w:val="baseline"/>
        <w:rPr>
          <w:rFonts w:ascii="仿宋" w:eastAsia="仿宋" w:hAnsi="仿宋" w:cs="仿宋"/>
          <w:bCs/>
          <w:snapToGrid w:val="0"/>
          <w:color w:val="000000" w:themeColor="text1"/>
          <w:spacing w:val="6"/>
          <w:kern w:val="0"/>
          <w:sz w:val="28"/>
          <w:szCs w:val="28"/>
        </w:rPr>
      </w:pPr>
      <w:r>
        <w:rPr>
          <w:rFonts w:ascii="仿宋" w:eastAsia="仿宋" w:hAnsi="仿宋" w:cs="仿宋" w:hint="eastAsia"/>
          <w:bCs/>
          <w:snapToGrid w:val="0"/>
          <w:color w:val="000000" w:themeColor="text1"/>
          <w:spacing w:val="6"/>
          <w:kern w:val="0"/>
          <w:sz w:val="28"/>
          <w:szCs w:val="28"/>
        </w:rPr>
        <w:t>基础设施失效风险：高温环境会导致沥青路面软化、混凝土结构热胀开裂。电力系统面临双重压力，一方面空调负荷激增导致用电峰值突破设计容量，另一方面高温降低输电设备散热效率，增加变压器故障概率。</w:t>
      </w:r>
    </w:p>
    <w:p w:rsidR="00D00D0B" w:rsidRDefault="00FD0360" w:rsidP="00DB75FB">
      <w:pPr>
        <w:pStyle w:val="3"/>
        <w:spacing w:before="156" w:after="62"/>
      </w:pPr>
      <w:r>
        <w:rPr>
          <w:rFonts w:hint="eastAsia"/>
        </w:rPr>
        <w:t>2.1.2 寒潮灾害风险</w:t>
      </w:r>
    </w:p>
    <w:p w:rsidR="00D00D0B" w:rsidRDefault="00FD0360" w:rsidP="00CC58E9">
      <w:pPr>
        <w:widowControl/>
        <w:kinsoku w:val="0"/>
        <w:autoSpaceDE w:val="0"/>
        <w:autoSpaceDN w:val="0"/>
        <w:adjustRightInd w:val="0"/>
        <w:snapToGrid w:val="0"/>
        <w:spacing w:beforeLines="50" w:afterLines="20" w:line="240" w:lineRule="auto"/>
        <w:ind w:firstLine="584"/>
        <w:textAlignment w:val="baseline"/>
        <w:rPr>
          <w:rFonts w:ascii="黑体" w:eastAsia="黑体" w:hAnsi="黑体" w:cs="黑体"/>
          <w:bCs/>
          <w:snapToGrid w:val="0"/>
          <w:color w:val="000000" w:themeColor="text1"/>
          <w:spacing w:val="6"/>
          <w:kern w:val="0"/>
          <w:sz w:val="28"/>
          <w:szCs w:val="28"/>
        </w:rPr>
      </w:pPr>
      <w:r>
        <w:rPr>
          <w:rFonts w:ascii="黑体" w:eastAsia="黑体" w:hAnsi="黑体" w:cs="黑体" w:hint="eastAsia"/>
          <w:bCs/>
          <w:snapToGrid w:val="0"/>
          <w:color w:val="000000" w:themeColor="text1"/>
          <w:spacing w:val="6"/>
          <w:kern w:val="0"/>
          <w:sz w:val="28"/>
          <w:szCs w:val="28"/>
        </w:rPr>
        <w:t>1）致灾机理与时空分布</w:t>
      </w:r>
    </w:p>
    <w:p w:rsidR="00D00D0B" w:rsidRDefault="00FD0360">
      <w:pPr>
        <w:widowControl/>
        <w:kinsoku w:val="0"/>
        <w:autoSpaceDE w:val="0"/>
        <w:autoSpaceDN w:val="0"/>
        <w:adjustRightInd w:val="0"/>
        <w:snapToGrid w:val="0"/>
        <w:spacing w:line="240" w:lineRule="auto"/>
        <w:ind w:firstLine="584"/>
        <w:textAlignment w:val="baseline"/>
        <w:rPr>
          <w:rFonts w:ascii="仿宋" w:eastAsia="仿宋" w:hAnsi="仿宋" w:cs="仿宋"/>
          <w:bCs/>
          <w:snapToGrid w:val="0"/>
          <w:color w:val="000000" w:themeColor="text1"/>
          <w:spacing w:val="6"/>
          <w:kern w:val="0"/>
          <w:sz w:val="28"/>
          <w:szCs w:val="28"/>
        </w:rPr>
      </w:pPr>
      <w:r>
        <w:rPr>
          <w:rFonts w:ascii="仿宋" w:eastAsia="仿宋" w:hAnsi="仿宋" w:cs="仿宋" w:hint="eastAsia"/>
          <w:bCs/>
          <w:snapToGrid w:val="0"/>
          <w:color w:val="000000" w:themeColor="text1"/>
          <w:spacing w:val="6"/>
          <w:kern w:val="0"/>
          <w:sz w:val="28"/>
          <w:szCs w:val="28"/>
        </w:rPr>
        <w:t>寒潮是强冷空气活动导致的剧烈降温现象，通常伴随大风、雨雪等天气，其形成与极地涡旋分裂南下密切相关。近50年，北半球中高纬度地区寒潮</w:t>
      </w:r>
      <w:proofErr w:type="gramStart"/>
      <w:r>
        <w:rPr>
          <w:rFonts w:ascii="仿宋" w:eastAsia="仿宋" w:hAnsi="仿宋" w:cs="仿宋" w:hint="eastAsia"/>
          <w:bCs/>
          <w:snapToGrid w:val="0"/>
          <w:color w:val="000000" w:themeColor="text1"/>
          <w:spacing w:val="6"/>
          <w:kern w:val="0"/>
          <w:sz w:val="28"/>
          <w:szCs w:val="28"/>
        </w:rPr>
        <w:t>频次呈</w:t>
      </w:r>
      <w:proofErr w:type="gramEnd"/>
      <w:r>
        <w:rPr>
          <w:rFonts w:ascii="仿宋" w:eastAsia="仿宋" w:hAnsi="仿宋" w:cs="仿宋" w:hint="eastAsia"/>
          <w:bCs/>
          <w:snapToGrid w:val="0"/>
          <w:color w:val="000000" w:themeColor="text1"/>
          <w:spacing w:val="6"/>
          <w:kern w:val="0"/>
          <w:sz w:val="28"/>
          <w:szCs w:val="28"/>
        </w:rPr>
        <w:t>下降趋势，但极端寒潮事件发生概率上升。统计显示，寒潮影响范围可覆盖全球60%的陆地面积，中国平均每年发生寒潮3-5次，主要集中在11月至次年4月。</w:t>
      </w:r>
    </w:p>
    <w:p w:rsidR="00D00D0B" w:rsidRDefault="00FD0360" w:rsidP="00CC58E9">
      <w:pPr>
        <w:widowControl/>
        <w:kinsoku w:val="0"/>
        <w:autoSpaceDE w:val="0"/>
        <w:autoSpaceDN w:val="0"/>
        <w:adjustRightInd w:val="0"/>
        <w:snapToGrid w:val="0"/>
        <w:spacing w:beforeLines="50" w:afterLines="20" w:line="240" w:lineRule="auto"/>
        <w:ind w:firstLine="584"/>
        <w:textAlignment w:val="baseline"/>
        <w:rPr>
          <w:rFonts w:ascii="黑体" w:eastAsia="黑体" w:hAnsi="黑体" w:cs="黑体"/>
          <w:bCs/>
          <w:snapToGrid w:val="0"/>
          <w:color w:val="000000" w:themeColor="text1"/>
          <w:spacing w:val="6"/>
          <w:kern w:val="0"/>
          <w:sz w:val="28"/>
          <w:szCs w:val="28"/>
        </w:rPr>
      </w:pPr>
      <w:r>
        <w:rPr>
          <w:rFonts w:ascii="黑体" w:eastAsia="黑体" w:hAnsi="黑体" w:cs="黑体" w:hint="eastAsia"/>
          <w:bCs/>
          <w:snapToGrid w:val="0"/>
          <w:color w:val="000000" w:themeColor="text1"/>
          <w:spacing w:val="6"/>
          <w:kern w:val="0"/>
          <w:sz w:val="28"/>
          <w:szCs w:val="28"/>
        </w:rPr>
        <w:t>2）物理风险维度</w:t>
      </w:r>
    </w:p>
    <w:p w:rsidR="00D00D0B" w:rsidRDefault="00FD0360">
      <w:pPr>
        <w:widowControl/>
        <w:kinsoku w:val="0"/>
        <w:autoSpaceDE w:val="0"/>
        <w:autoSpaceDN w:val="0"/>
        <w:adjustRightInd w:val="0"/>
        <w:snapToGrid w:val="0"/>
        <w:spacing w:line="240" w:lineRule="auto"/>
        <w:ind w:firstLine="584"/>
        <w:textAlignment w:val="baseline"/>
        <w:rPr>
          <w:rFonts w:ascii="仿宋" w:eastAsia="仿宋" w:hAnsi="仿宋" w:cs="仿宋"/>
          <w:bCs/>
          <w:snapToGrid w:val="0"/>
          <w:color w:val="000000" w:themeColor="text1"/>
          <w:spacing w:val="6"/>
          <w:kern w:val="0"/>
          <w:sz w:val="28"/>
          <w:szCs w:val="28"/>
        </w:rPr>
      </w:pPr>
      <w:r>
        <w:rPr>
          <w:rFonts w:ascii="仿宋" w:eastAsia="仿宋" w:hAnsi="仿宋" w:cs="仿宋" w:hint="eastAsia"/>
          <w:bCs/>
          <w:snapToGrid w:val="0"/>
          <w:color w:val="000000" w:themeColor="text1"/>
          <w:spacing w:val="6"/>
          <w:kern w:val="0"/>
          <w:sz w:val="28"/>
          <w:szCs w:val="28"/>
        </w:rPr>
        <w:t>农业低温灾害风险：当环境温度突破农作物冰点耐受阈值时，细胞质膜透性改变引发胞内结冰，冰晶刺穿细胞结构导致组织损伤。以冬小麦为例，其拔节期遭遇临界低温胁迫（如-5℃持续12小时以上），将引发小穗发育障碍与光合器官损伤，据实验研究显示，此类冻害事件可导致穗粒数减少35-45%，理论产量损失率达38.6±2.1%。</w:t>
      </w:r>
    </w:p>
    <w:p w:rsidR="00D00D0B" w:rsidRDefault="00FD0360">
      <w:pPr>
        <w:widowControl/>
        <w:kinsoku w:val="0"/>
        <w:autoSpaceDE w:val="0"/>
        <w:autoSpaceDN w:val="0"/>
        <w:adjustRightInd w:val="0"/>
        <w:snapToGrid w:val="0"/>
        <w:spacing w:line="240" w:lineRule="auto"/>
        <w:ind w:firstLine="584"/>
        <w:textAlignment w:val="baseline"/>
        <w:rPr>
          <w:rFonts w:ascii="仿宋" w:eastAsia="仿宋" w:hAnsi="仿宋" w:cs="仿宋"/>
          <w:bCs/>
          <w:snapToGrid w:val="0"/>
          <w:color w:val="000000" w:themeColor="text1"/>
          <w:spacing w:val="6"/>
          <w:kern w:val="0"/>
          <w:sz w:val="28"/>
          <w:szCs w:val="28"/>
        </w:rPr>
      </w:pPr>
      <w:r>
        <w:rPr>
          <w:rFonts w:ascii="仿宋" w:eastAsia="仿宋" w:hAnsi="仿宋" w:cs="仿宋" w:hint="eastAsia"/>
          <w:bCs/>
          <w:snapToGrid w:val="0"/>
          <w:color w:val="000000" w:themeColor="text1"/>
          <w:spacing w:val="6"/>
          <w:kern w:val="0"/>
          <w:sz w:val="28"/>
          <w:szCs w:val="28"/>
        </w:rPr>
        <w:t>能源供应中断风险：低温导致天然气管道冻胀破裂，煤炭运输受冰雪影响效率下降。电力系统面临覆冰跳闸风险。</w:t>
      </w:r>
    </w:p>
    <w:p w:rsidR="00D00D0B" w:rsidRDefault="00FD0360">
      <w:pPr>
        <w:widowControl/>
        <w:kinsoku w:val="0"/>
        <w:autoSpaceDE w:val="0"/>
        <w:autoSpaceDN w:val="0"/>
        <w:adjustRightInd w:val="0"/>
        <w:snapToGrid w:val="0"/>
        <w:spacing w:line="240" w:lineRule="auto"/>
        <w:ind w:firstLine="584"/>
        <w:textAlignment w:val="baseline"/>
        <w:rPr>
          <w:rFonts w:ascii="仿宋" w:eastAsia="仿宋" w:hAnsi="仿宋" w:cs="仿宋"/>
          <w:bCs/>
          <w:snapToGrid w:val="0"/>
          <w:color w:val="000000" w:themeColor="text1"/>
          <w:spacing w:val="6"/>
          <w:kern w:val="0"/>
          <w:sz w:val="28"/>
          <w:szCs w:val="28"/>
        </w:rPr>
      </w:pPr>
      <w:r>
        <w:rPr>
          <w:rFonts w:ascii="仿宋" w:eastAsia="仿宋" w:hAnsi="仿宋" w:cs="仿宋" w:hint="eastAsia"/>
          <w:bCs/>
          <w:snapToGrid w:val="0"/>
          <w:color w:val="000000" w:themeColor="text1"/>
          <w:spacing w:val="6"/>
          <w:kern w:val="0"/>
          <w:sz w:val="28"/>
          <w:szCs w:val="28"/>
        </w:rPr>
        <w:t>交通系统瘫痪风险：冰雪路面摩擦系数降至0.2以下（正常干燥路面为0.7），导致交通事故率增加3-5倍。</w:t>
      </w:r>
    </w:p>
    <w:p w:rsidR="00D00D0B" w:rsidRDefault="00FD0360" w:rsidP="00DB75FB">
      <w:pPr>
        <w:pStyle w:val="3"/>
        <w:spacing w:before="156" w:after="62"/>
      </w:pPr>
      <w:r>
        <w:rPr>
          <w:rFonts w:hint="eastAsia"/>
        </w:rPr>
        <w:t>2.1.3 台风灾害风险</w:t>
      </w:r>
    </w:p>
    <w:p w:rsidR="00D00D0B" w:rsidRDefault="00FD0360" w:rsidP="00CC58E9">
      <w:pPr>
        <w:widowControl/>
        <w:kinsoku w:val="0"/>
        <w:autoSpaceDE w:val="0"/>
        <w:autoSpaceDN w:val="0"/>
        <w:adjustRightInd w:val="0"/>
        <w:snapToGrid w:val="0"/>
        <w:spacing w:beforeLines="50" w:afterLines="20" w:line="240" w:lineRule="auto"/>
        <w:ind w:firstLine="584"/>
        <w:textAlignment w:val="baseline"/>
        <w:rPr>
          <w:rFonts w:ascii="黑体" w:eastAsia="黑体" w:hAnsi="黑体" w:cs="黑体"/>
          <w:bCs/>
          <w:snapToGrid w:val="0"/>
          <w:color w:val="000000" w:themeColor="text1"/>
          <w:spacing w:val="6"/>
          <w:kern w:val="0"/>
          <w:sz w:val="28"/>
          <w:szCs w:val="28"/>
        </w:rPr>
      </w:pPr>
      <w:r>
        <w:rPr>
          <w:rFonts w:ascii="黑体" w:eastAsia="黑体" w:hAnsi="黑体" w:cs="黑体" w:hint="eastAsia"/>
          <w:bCs/>
          <w:snapToGrid w:val="0"/>
          <w:color w:val="000000" w:themeColor="text1"/>
          <w:spacing w:val="6"/>
          <w:kern w:val="0"/>
          <w:sz w:val="28"/>
          <w:szCs w:val="28"/>
        </w:rPr>
        <w:t>1）致灾机理与时空分布</w:t>
      </w:r>
    </w:p>
    <w:p w:rsidR="00D00D0B" w:rsidRDefault="00FD0360">
      <w:pPr>
        <w:widowControl/>
        <w:kinsoku w:val="0"/>
        <w:autoSpaceDE w:val="0"/>
        <w:autoSpaceDN w:val="0"/>
        <w:adjustRightInd w:val="0"/>
        <w:snapToGrid w:val="0"/>
        <w:spacing w:line="240" w:lineRule="auto"/>
        <w:ind w:firstLine="584"/>
        <w:textAlignment w:val="baseline"/>
        <w:rPr>
          <w:rFonts w:ascii="仿宋" w:eastAsia="仿宋" w:hAnsi="仿宋" w:cs="仿宋"/>
          <w:bCs/>
          <w:snapToGrid w:val="0"/>
          <w:color w:val="000000" w:themeColor="text1"/>
          <w:spacing w:val="6"/>
          <w:kern w:val="0"/>
          <w:sz w:val="28"/>
          <w:szCs w:val="28"/>
        </w:rPr>
      </w:pPr>
      <w:r>
        <w:rPr>
          <w:rFonts w:ascii="仿宋" w:eastAsia="仿宋" w:hAnsi="仿宋" w:cs="仿宋" w:hint="eastAsia"/>
          <w:bCs/>
          <w:snapToGrid w:val="0"/>
          <w:color w:val="000000" w:themeColor="text1"/>
          <w:spacing w:val="6"/>
          <w:kern w:val="0"/>
          <w:sz w:val="28"/>
          <w:szCs w:val="28"/>
        </w:rPr>
        <w:t>台风是生成于热带海洋的强气旋系统，中心风力≥12级（≥32.7m/s），具有明显的季节性（北半球7-9月占比70%）和地域性（西北太平洋占全球台风总数的36%）。过去40年，全球强台风（≥14 级）数量增加了10%-15%。</w:t>
      </w:r>
    </w:p>
    <w:p w:rsidR="00D00D0B" w:rsidRDefault="00FD0360" w:rsidP="00CC58E9">
      <w:pPr>
        <w:widowControl/>
        <w:kinsoku w:val="0"/>
        <w:autoSpaceDE w:val="0"/>
        <w:autoSpaceDN w:val="0"/>
        <w:adjustRightInd w:val="0"/>
        <w:snapToGrid w:val="0"/>
        <w:spacing w:beforeLines="50" w:afterLines="20" w:line="240" w:lineRule="auto"/>
        <w:ind w:firstLine="584"/>
        <w:textAlignment w:val="baseline"/>
        <w:rPr>
          <w:rFonts w:ascii="黑体" w:eastAsia="黑体" w:hAnsi="黑体" w:cs="黑体"/>
          <w:bCs/>
          <w:snapToGrid w:val="0"/>
          <w:color w:val="000000" w:themeColor="text1"/>
          <w:spacing w:val="6"/>
          <w:kern w:val="0"/>
          <w:sz w:val="28"/>
          <w:szCs w:val="28"/>
        </w:rPr>
      </w:pPr>
      <w:r>
        <w:rPr>
          <w:rFonts w:ascii="黑体" w:eastAsia="黑体" w:hAnsi="黑体" w:cs="黑体" w:hint="eastAsia"/>
          <w:bCs/>
          <w:snapToGrid w:val="0"/>
          <w:color w:val="000000" w:themeColor="text1"/>
          <w:spacing w:val="6"/>
          <w:kern w:val="0"/>
          <w:sz w:val="28"/>
          <w:szCs w:val="28"/>
        </w:rPr>
        <w:t>2）物理风险维度</w:t>
      </w:r>
    </w:p>
    <w:p w:rsidR="00D00D0B" w:rsidRDefault="00FD0360">
      <w:pPr>
        <w:widowControl/>
        <w:kinsoku w:val="0"/>
        <w:autoSpaceDE w:val="0"/>
        <w:autoSpaceDN w:val="0"/>
        <w:adjustRightInd w:val="0"/>
        <w:snapToGrid w:val="0"/>
        <w:spacing w:line="240" w:lineRule="auto"/>
        <w:ind w:firstLine="584"/>
        <w:textAlignment w:val="baseline"/>
        <w:rPr>
          <w:rFonts w:ascii="仿宋" w:eastAsia="仿宋" w:hAnsi="仿宋" w:cs="仿宋"/>
          <w:bCs/>
          <w:snapToGrid w:val="0"/>
          <w:color w:val="000000" w:themeColor="text1"/>
          <w:spacing w:val="6"/>
          <w:kern w:val="0"/>
          <w:sz w:val="28"/>
          <w:szCs w:val="28"/>
        </w:rPr>
      </w:pPr>
      <w:r>
        <w:rPr>
          <w:rFonts w:ascii="仿宋" w:eastAsia="仿宋" w:hAnsi="仿宋" w:cs="仿宋" w:hint="eastAsia"/>
          <w:bCs/>
          <w:snapToGrid w:val="0"/>
          <w:color w:val="000000" w:themeColor="text1"/>
          <w:spacing w:val="6"/>
          <w:kern w:val="0"/>
          <w:sz w:val="28"/>
          <w:szCs w:val="28"/>
        </w:rPr>
        <w:t>风暴潮漫堤风险：台风带来的增水效应可使沿海水位上升 5-10 米，超过海堤设计标高。联合国环境规划署（UNEP）研究显示，全球 1.9 亿人口生活在风暴潮高风险区。</w:t>
      </w:r>
    </w:p>
    <w:p w:rsidR="00D00D0B" w:rsidRDefault="00FD0360">
      <w:pPr>
        <w:widowControl/>
        <w:kinsoku w:val="0"/>
        <w:autoSpaceDE w:val="0"/>
        <w:autoSpaceDN w:val="0"/>
        <w:adjustRightInd w:val="0"/>
        <w:snapToGrid w:val="0"/>
        <w:spacing w:line="240" w:lineRule="auto"/>
        <w:ind w:firstLine="584"/>
        <w:textAlignment w:val="baseline"/>
        <w:rPr>
          <w:rFonts w:ascii="仿宋" w:eastAsia="仿宋" w:hAnsi="仿宋" w:cs="仿宋"/>
          <w:bCs/>
          <w:snapToGrid w:val="0"/>
          <w:color w:val="000000" w:themeColor="text1"/>
          <w:spacing w:val="6"/>
          <w:kern w:val="0"/>
          <w:sz w:val="28"/>
          <w:szCs w:val="28"/>
        </w:rPr>
      </w:pPr>
      <w:r>
        <w:rPr>
          <w:rFonts w:ascii="仿宋" w:eastAsia="仿宋" w:hAnsi="仿宋" w:cs="仿宋" w:hint="eastAsia"/>
          <w:bCs/>
          <w:snapToGrid w:val="0"/>
          <w:color w:val="000000" w:themeColor="text1"/>
          <w:spacing w:val="6"/>
          <w:kern w:val="0"/>
          <w:sz w:val="28"/>
          <w:szCs w:val="28"/>
        </w:rPr>
        <w:t>强降雨洪涝风险：台风中心附近24小时降雨量可达500mm以上（超过我国南方地区月均降雨量），导致河流水位超警戒线。</w:t>
      </w:r>
    </w:p>
    <w:p w:rsidR="00D00D0B" w:rsidRDefault="00FD0360">
      <w:pPr>
        <w:widowControl/>
        <w:kinsoku w:val="0"/>
        <w:autoSpaceDE w:val="0"/>
        <w:autoSpaceDN w:val="0"/>
        <w:adjustRightInd w:val="0"/>
        <w:snapToGrid w:val="0"/>
        <w:spacing w:line="240" w:lineRule="auto"/>
        <w:ind w:firstLine="584"/>
        <w:textAlignment w:val="baseline"/>
        <w:rPr>
          <w:rFonts w:ascii="仿宋" w:eastAsia="仿宋" w:hAnsi="仿宋" w:cs="仿宋"/>
          <w:bCs/>
          <w:snapToGrid w:val="0"/>
          <w:color w:val="000000" w:themeColor="text1"/>
          <w:spacing w:val="6"/>
          <w:kern w:val="0"/>
          <w:sz w:val="28"/>
          <w:szCs w:val="28"/>
        </w:rPr>
      </w:pPr>
      <w:proofErr w:type="gramStart"/>
      <w:r>
        <w:rPr>
          <w:rFonts w:ascii="仿宋" w:eastAsia="仿宋" w:hAnsi="仿宋" w:cs="仿宋" w:hint="eastAsia"/>
          <w:bCs/>
          <w:snapToGrid w:val="0"/>
          <w:color w:val="000000" w:themeColor="text1"/>
          <w:spacing w:val="6"/>
          <w:kern w:val="0"/>
          <w:sz w:val="28"/>
          <w:szCs w:val="28"/>
        </w:rPr>
        <w:lastRenderedPageBreak/>
        <w:t>风毁灾害</w:t>
      </w:r>
      <w:proofErr w:type="gramEnd"/>
      <w:r>
        <w:rPr>
          <w:rFonts w:ascii="仿宋" w:eastAsia="仿宋" w:hAnsi="仿宋" w:cs="仿宋" w:hint="eastAsia"/>
          <w:bCs/>
          <w:snapToGrid w:val="0"/>
          <w:color w:val="000000" w:themeColor="text1"/>
          <w:spacing w:val="6"/>
          <w:kern w:val="0"/>
          <w:sz w:val="28"/>
          <w:szCs w:val="28"/>
        </w:rPr>
        <w:t>风险：超强台风风力可破坏钢结构厂房。</w:t>
      </w:r>
    </w:p>
    <w:p w:rsidR="00D00D0B" w:rsidRDefault="00D00D0B">
      <w:pPr>
        <w:widowControl/>
        <w:kinsoku w:val="0"/>
        <w:autoSpaceDE w:val="0"/>
        <w:autoSpaceDN w:val="0"/>
        <w:adjustRightInd w:val="0"/>
        <w:snapToGrid w:val="0"/>
        <w:spacing w:line="240" w:lineRule="auto"/>
        <w:ind w:firstLine="584"/>
        <w:textAlignment w:val="baseline"/>
        <w:rPr>
          <w:rFonts w:ascii="仿宋" w:eastAsia="仿宋" w:hAnsi="仿宋" w:cs="仿宋"/>
          <w:bCs/>
          <w:snapToGrid w:val="0"/>
          <w:color w:val="000000" w:themeColor="text1"/>
          <w:spacing w:val="6"/>
          <w:kern w:val="0"/>
          <w:sz w:val="28"/>
          <w:szCs w:val="28"/>
        </w:rPr>
      </w:pPr>
    </w:p>
    <w:p w:rsidR="00D00D0B" w:rsidRDefault="00FD0360" w:rsidP="00DB75FB">
      <w:pPr>
        <w:pStyle w:val="20"/>
        <w:spacing w:before="156" w:after="62"/>
      </w:pPr>
      <w:bookmarkStart w:id="8" w:name="_Toc4188"/>
      <w:r>
        <w:rPr>
          <w:rFonts w:hint="eastAsia"/>
        </w:rPr>
        <w:t>2.2 转型风险</w:t>
      </w:r>
      <w:bookmarkEnd w:id="8"/>
    </w:p>
    <w:p w:rsidR="00D00D0B" w:rsidRDefault="00FD0360">
      <w:pPr>
        <w:widowControl/>
        <w:kinsoku w:val="0"/>
        <w:autoSpaceDE w:val="0"/>
        <w:autoSpaceDN w:val="0"/>
        <w:adjustRightInd w:val="0"/>
        <w:snapToGrid w:val="0"/>
        <w:spacing w:line="240" w:lineRule="auto"/>
        <w:ind w:firstLine="584"/>
        <w:textAlignment w:val="baseline"/>
        <w:rPr>
          <w:rFonts w:ascii="仿宋" w:eastAsia="仿宋" w:hAnsi="仿宋" w:cs="仿宋"/>
          <w:bCs/>
          <w:snapToGrid w:val="0"/>
          <w:color w:val="000000" w:themeColor="text1"/>
          <w:spacing w:val="6"/>
          <w:kern w:val="0"/>
          <w:sz w:val="28"/>
          <w:szCs w:val="28"/>
        </w:rPr>
      </w:pPr>
      <w:r>
        <w:rPr>
          <w:rFonts w:ascii="仿宋" w:eastAsia="仿宋" w:hAnsi="仿宋" w:cs="仿宋" w:hint="eastAsia"/>
          <w:bCs/>
          <w:snapToGrid w:val="0"/>
          <w:color w:val="000000" w:themeColor="text1"/>
          <w:spacing w:val="6"/>
          <w:kern w:val="0"/>
          <w:sz w:val="28"/>
          <w:szCs w:val="28"/>
        </w:rPr>
        <w:t>转型风险源于低碳经济转型过程中政策驱动、技术革新及市场供需重构引发的系统性变革，具体涵盖四大维度：</w:t>
      </w:r>
    </w:p>
    <w:p w:rsidR="00D00D0B" w:rsidRDefault="00FD0360" w:rsidP="00CC58E9">
      <w:pPr>
        <w:widowControl/>
        <w:kinsoku w:val="0"/>
        <w:autoSpaceDE w:val="0"/>
        <w:autoSpaceDN w:val="0"/>
        <w:adjustRightInd w:val="0"/>
        <w:snapToGrid w:val="0"/>
        <w:spacing w:beforeLines="50" w:afterLines="20" w:line="240" w:lineRule="auto"/>
        <w:ind w:firstLine="584"/>
        <w:textAlignment w:val="baseline"/>
        <w:rPr>
          <w:rFonts w:ascii="黑体" w:eastAsia="黑体" w:hAnsi="黑体" w:cs="黑体"/>
          <w:bCs/>
          <w:snapToGrid w:val="0"/>
          <w:color w:val="000000" w:themeColor="text1"/>
          <w:spacing w:val="6"/>
          <w:kern w:val="0"/>
          <w:sz w:val="28"/>
          <w:szCs w:val="28"/>
        </w:rPr>
      </w:pPr>
      <w:r>
        <w:rPr>
          <w:rFonts w:ascii="黑体" w:eastAsia="黑体" w:hAnsi="黑体" w:cs="黑体" w:hint="eastAsia"/>
          <w:bCs/>
          <w:snapToGrid w:val="0"/>
          <w:color w:val="000000" w:themeColor="text1"/>
          <w:spacing w:val="6"/>
          <w:kern w:val="0"/>
          <w:sz w:val="28"/>
          <w:szCs w:val="28"/>
        </w:rPr>
        <w:t>1）政策法规调整</w:t>
      </w:r>
    </w:p>
    <w:p w:rsidR="00D00D0B" w:rsidRDefault="00FD0360" w:rsidP="00CC58E9">
      <w:pPr>
        <w:widowControl/>
        <w:kinsoku w:val="0"/>
        <w:autoSpaceDE w:val="0"/>
        <w:autoSpaceDN w:val="0"/>
        <w:adjustRightInd w:val="0"/>
        <w:snapToGrid w:val="0"/>
        <w:spacing w:beforeLines="50" w:line="240" w:lineRule="auto"/>
        <w:ind w:firstLine="584"/>
        <w:textAlignment w:val="baseline"/>
        <w:rPr>
          <w:rFonts w:ascii="仿宋" w:eastAsia="仿宋" w:hAnsi="仿宋" w:cs="仿宋"/>
          <w:bCs/>
          <w:snapToGrid w:val="0"/>
          <w:color w:val="000000" w:themeColor="text1"/>
          <w:spacing w:val="6"/>
          <w:kern w:val="0"/>
          <w:sz w:val="28"/>
          <w:szCs w:val="28"/>
        </w:rPr>
      </w:pPr>
      <w:r>
        <w:rPr>
          <w:rFonts w:ascii="仿宋" w:eastAsia="仿宋" w:hAnsi="仿宋" w:cs="仿宋" w:hint="eastAsia"/>
          <w:bCs/>
          <w:snapToGrid w:val="0"/>
          <w:color w:val="000000" w:themeColor="text1"/>
          <w:spacing w:val="6"/>
          <w:kern w:val="0"/>
          <w:sz w:val="28"/>
          <w:szCs w:val="28"/>
        </w:rPr>
        <w:t>各国通过碳定价机制（如碳市场）、行业准入限制及环保法规强化，直接推高高</w:t>
      </w:r>
      <w:proofErr w:type="gramStart"/>
      <w:r>
        <w:rPr>
          <w:rFonts w:ascii="仿宋" w:eastAsia="仿宋" w:hAnsi="仿宋" w:cs="仿宋" w:hint="eastAsia"/>
          <w:bCs/>
          <w:snapToGrid w:val="0"/>
          <w:color w:val="000000" w:themeColor="text1"/>
          <w:spacing w:val="6"/>
          <w:kern w:val="0"/>
          <w:sz w:val="28"/>
          <w:szCs w:val="28"/>
        </w:rPr>
        <w:t>碳行业</w:t>
      </w:r>
      <w:proofErr w:type="gramEnd"/>
      <w:r>
        <w:rPr>
          <w:rFonts w:ascii="仿宋" w:eastAsia="仿宋" w:hAnsi="仿宋" w:cs="仿宋" w:hint="eastAsia"/>
          <w:bCs/>
          <w:snapToGrid w:val="0"/>
          <w:color w:val="000000" w:themeColor="text1"/>
          <w:spacing w:val="6"/>
          <w:kern w:val="0"/>
          <w:sz w:val="28"/>
          <w:szCs w:val="28"/>
        </w:rPr>
        <w:t>运营成本，削弱其市场竞争力。对部分高碳行业严控规模，实施</w:t>
      </w:r>
      <w:proofErr w:type="gramStart"/>
      <w:r>
        <w:rPr>
          <w:rFonts w:ascii="仿宋" w:eastAsia="仿宋" w:hAnsi="仿宋" w:cs="仿宋" w:hint="eastAsia"/>
          <w:bCs/>
          <w:snapToGrid w:val="0"/>
          <w:color w:val="000000" w:themeColor="text1"/>
          <w:spacing w:val="6"/>
          <w:kern w:val="0"/>
          <w:sz w:val="28"/>
          <w:szCs w:val="28"/>
        </w:rPr>
        <w:t>碳交易</w:t>
      </w:r>
      <w:proofErr w:type="gramEnd"/>
      <w:r>
        <w:rPr>
          <w:rFonts w:ascii="仿宋" w:eastAsia="仿宋" w:hAnsi="仿宋" w:cs="仿宋" w:hint="eastAsia"/>
          <w:bCs/>
          <w:snapToGrid w:val="0"/>
          <w:color w:val="000000" w:themeColor="text1"/>
          <w:spacing w:val="6"/>
          <w:kern w:val="0"/>
          <w:sz w:val="28"/>
          <w:szCs w:val="28"/>
        </w:rPr>
        <w:t>机制鼓励削减温室气体排放，限制高碳排放或低效能源的使用，加大环境执法力度，征收和提高环保税，倡导可持续土地使用措施等。</w:t>
      </w:r>
    </w:p>
    <w:p w:rsidR="00D00D0B" w:rsidRDefault="00FD0360" w:rsidP="00CC58E9">
      <w:pPr>
        <w:widowControl/>
        <w:kinsoku w:val="0"/>
        <w:autoSpaceDE w:val="0"/>
        <w:autoSpaceDN w:val="0"/>
        <w:adjustRightInd w:val="0"/>
        <w:snapToGrid w:val="0"/>
        <w:spacing w:beforeLines="50" w:afterLines="20" w:line="240" w:lineRule="auto"/>
        <w:ind w:firstLine="584"/>
        <w:textAlignment w:val="baseline"/>
        <w:rPr>
          <w:rFonts w:ascii="黑体" w:eastAsia="黑体" w:hAnsi="黑体" w:cs="黑体"/>
          <w:bCs/>
          <w:snapToGrid w:val="0"/>
          <w:color w:val="000000" w:themeColor="text1"/>
          <w:spacing w:val="6"/>
          <w:kern w:val="0"/>
          <w:sz w:val="28"/>
          <w:szCs w:val="28"/>
        </w:rPr>
      </w:pPr>
      <w:r>
        <w:rPr>
          <w:rFonts w:ascii="黑体" w:eastAsia="黑体" w:hAnsi="黑体" w:cs="黑体" w:hint="eastAsia"/>
          <w:bCs/>
          <w:snapToGrid w:val="0"/>
          <w:color w:val="000000" w:themeColor="text1"/>
          <w:spacing w:val="6"/>
          <w:kern w:val="0"/>
          <w:sz w:val="28"/>
          <w:szCs w:val="28"/>
        </w:rPr>
        <w:t>2）技术替代冲击</w:t>
      </w:r>
    </w:p>
    <w:p w:rsidR="00D00D0B" w:rsidRDefault="00FD0360" w:rsidP="00CC58E9">
      <w:pPr>
        <w:widowControl/>
        <w:kinsoku w:val="0"/>
        <w:autoSpaceDE w:val="0"/>
        <w:autoSpaceDN w:val="0"/>
        <w:adjustRightInd w:val="0"/>
        <w:snapToGrid w:val="0"/>
        <w:spacing w:beforeLines="50" w:line="240" w:lineRule="auto"/>
        <w:ind w:firstLine="584"/>
        <w:textAlignment w:val="baseline"/>
        <w:rPr>
          <w:rFonts w:ascii="仿宋" w:eastAsia="仿宋" w:hAnsi="仿宋" w:cs="仿宋"/>
          <w:bCs/>
          <w:snapToGrid w:val="0"/>
          <w:color w:val="000000" w:themeColor="text1"/>
          <w:spacing w:val="6"/>
          <w:kern w:val="0"/>
          <w:sz w:val="28"/>
          <w:szCs w:val="28"/>
        </w:rPr>
      </w:pPr>
      <w:r>
        <w:rPr>
          <w:rFonts w:ascii="仿宋" w:eastAsia="仿宋" w:hAnsi="仿宋" w:cs="仿宋" w:hint="eastAsia"/>
          <w:bCs/>
          <w:snapToGrid w:val="0"/>
          <w:color w:val="000000" w:themeColor="text1"/>
          <w:spacing w:val="6"/>
          <w:kern w:val="0"/>
          <w:sz w:val="28"/>
          <w:szCs w:val="28"/>
        </w:rPr>
        <w:t>清洁能源技术（如光伏、风电）的快速迭代与成本下降，导致传统化石能源技术（如煤炭、燃油车）需求萎缩。企业若未能及时布局低碳技术，将面临市场份额流失与资产减值风险，出现“创造性破坏”的现象。</w:t>
      </w:r>
    </w:p>
    <w:p w:rsidR="00D00D0B" w:rsidRDefault="00FD0360" w:rsidP="00CC58E9">
      <w:pPr>
        <w:widowControl/>
        <w:kinsoku w:val="0"/>
        <w:autoSpaceDE w:val="0"/>
        <w:autoSpaceDN w:val="0"/>
        <w:adjustRightInd w:val="0"/>
        <w:snapToGrid w:val="0"/>
        <w:spacing w:beforeLines="50" w:afterLines="20" w:line="240" w:lineRule="auto"/>
        <w:ind w:firstLine="584"/>
        <w:textAlignment w:val="baseline"/>
        <w:rPr>
          <w:rFonts w:ascii="黑体" w:eastAsia="黑体" w:hAnsi="黑体" w:cs="黑体"/>
          <w:bCs/>
          <w:snapToGrid w:val="0"/>
          <w:color w:val="000000" w:themeColor="text1"/>
          <w:spacing w:val="6"/>
          <w:kern w:val="0"/>
          <w:sz w:val="28"/>
          <w:szCs w:val="28"/>
        </w:rPr>
      </w:pPr>
      <w:r>
        <w:rPr>
          <w:rFonts w:ascii="黑体" w:eastAsia="黑体" w:hAnsi="黑体" w:cs="黑体" w:hint="eastAsia"/>
          <w:bCs/>
          <w:snapToGrid w:val="0"/>
          <w:color w:val="000000" w:themeColor="text1"/>
          <w:spacing w:val="6"/>
          <w:kern w:val="0"/>
          <w:sz w:val="28"/>
          <w:szCs w:val="28"/>
        </w:rPr>
        <w:t>3）市场偏好迁移</w:t>
      </w:r>
    </w:p>
    <w:p w:rsidR="00D00D0B" w:rsidRDefault="00FD0360" w:rsidP="00CC58E9">
      <w:pPr>
        <w:widowControl/>
        <w:kinsoku w:val="0"/>
        <w:autoSpaceDE w:val="0"/>
        <w:autoSpaceDN w:val="0"/>
        <w:adjustRightInd w:val="0"/>
        <w:snapToGrid w:val="0"/>
        <w:spacing w:beforeLines="50" w:line="240" w:lineRule="auto"/>
        <w:ind w:firstLine="584"/>
        <w:textAlignment w:val="baseline"/>
        <w:rPr>
          <w:rFonts w:ascii="仿宋" w:eastAsia="仿宋" w:hAnsi="仿宋" w:cs="仿宋"/>
          <w:bCs/>
          <w:snapToGrid w:val="0"/>
          <w:color w:val="000000" w:themeColor="text1"/>
          <w:spacing w:val="6"/>
          <w:kern w:val="0"/>
          <w:sz w:val="28"/>
          <w:szCs w:val="28"/>
        </w:rPr>
      </w:pPr>
      <w:r>
        <w:rPr>
          <w:rFonts w:ascii="仿宋" w:eastAsia="仿宋" w:hAnsi="仿宋" w:cs="仿宋" w:hint="eastAsia"/>
          <w:bCs/>
          <w:snapToGrid w:val="0"/>
          <w:color w:val="000000" w:themeColor="text1"/>
          <w:spacing w:val="6"/>
          <w:kern w:val="0"/>
          <w:sz w:val="28"/>
          <w:szCs w:val="28"/>
        </w:rPr>
        <w:t>在气候变化议题十分突出的大环境下，市场供求关系会发生显著改变，消费者们会更加倾向于选择低碳环保的产品与服务，股票和债券的投资者们也将更加倾向于选择投资绿色金融资产。</w:t>
      </w:r>
    </w:p>
    <w:p w:rsidR="00D00D0B" w:rsidRDefault="00FD0360" w:rsidP="00CC58E9">
      <w:pPr>
        <w:widowControl/>
        <w:kinsoku w:val="0"/>
        <w:autoSpaceDE w:val="0"/>
        <w:autoSpaceDN w:val="0"/>
        <w:adjustRightInd w:val="0"/>
        <w:snapToGrid w:val="0"/>
        <w:spacing w:beforeLines="50" w:afterLines="20" w:line="240" w:lineRule="auto"/>
        <w:ind w:firstLine="584"/>
        <w:textAlignment w:val="baseline"/>
        <w:rPr>
          <w:rFonts w:ascii="黑体" w:eastAsia="黑体" w:hAnsi="黑体" w:cs="黑体"/>
          <w:bCs/>
          <w:snapToGrid w:val="0"/>
          <w:color w:val="000000" w:themeColor="text1"/>
          <w:spacing w:val="6"/>
          <w:kern w:val="0"/>
          <w:sz w:val="28"/>
          <w:szCs w:val="28"/>
        </w:rPr>
      </w:pPr>
      <w:r>
        <w:rPr>
          <w:rFonts w:ascii="黑体" w:eastAsia="黑体" w:hAnsi="黑体" w:cs="黑体" w:hint="eastAsia"/>
          <w:bCs/>
          <w:snapToGrid w:val="0"/>
          <w:color w:val="000000" w:themeColor="text1"/>
          <w:spacing w:val="6"/>
          <w:kern w:val="0"/>
          <w:sz w:val="28"/>
          <w:szCs w:val="28"/>
        </w:rPr>
        <w:t>4）声誉风险传导</w:t>
      </w:r>
    </w:p>
    <w:p w:rsidR="00D00D0B" w:rsidRDefault="00FD0360" w:rsidP="00CC58E9">
      <w:pPr>
        <w:widowControl/>
        <w:kinsoku w:val="0"/>
        <w:autoSpaceDE w:val="0"/>
        <w:autoSpaceDN w:val="0"/>
        <w:adjustRightInd w:val="0"/>
        <w:snapToGrid w:val="0"/>
        <w:spacing w:beforeLines="50" w:line="240" w:lineRule="auto"/>
        <w:ind w:firstLine="584"/>
        <w:textAlignment w:val="baseline"/>
        <w:rPr>
          <w:rFonts w:ascii="仿宋" w:eastAsia="仿宋" w:hAnsi="仿宋" w:cs="仿宋"/>
          <w:bCs/>
          <w:snapToGrid w:val="0"/>
          <w:color w:val="000000" w:themeColor="text1"/>
          <w:spacing w:val="6"/>
          <w:kern w:val="0"/>
          <w:sz w:val="28"/>
          <w:szCs w:val="28"/>
        </w:rPr>
      </w:pPr>
      <w:r>
        <w:rPr>
          <w:rFonts w:ascii="仿宋" w:eastAsia="仿宋" w:hAnsi="仿宋" w:cs="仿宋" w:hint="eastAsia"/>
          <w:bCs/>
          <w:snapToGrid w:val="0"/>
          <w:color w:val="000000" w:themeColor="text1"/>
          <w:spacing w:val="6"/>
          <w:kern w:val="0"/>
          <w:sz w:val="28"/>
          <w:szCs w:val="28"/>
        </w:rPr>
        <w:t>ESG负面舆情（如环保违规、碳排放超标）会损害企业品牌形象，导致融资成本上升、客户流失及投资者信心下降。金融机构对高碳资产的审慎态度进一步加剧相关企业的融资约束。</w:t>
      </w:r>
    </w:p>
    <w:p w:rsidR="00D00D0B" w:rsidRDefault="00FD0360" w:rsidP="00DB75FB">
      <w:pPr>
        <w:pStyle w:val="20"/>
        <w:spacing w:before="156" w:after="62"/>
      </w:pPr>
      <w:bookmarkStart w:id="9" w:name="_Toc12520"/>
      <w:r>
        <w:rPr>
          <w:rFonts w:hint="eastAsia"/>
        </w:rPr>
        <w:t>2.3 气候风险传导机制</w:t>
      </w:r>
      <w:bookmarkEnd w:id="9"/>
    </w:p>
    <w:p w:rsidR="00D00D0B" w:rsidRDefault="00FD0360" w:rsidP="00DB75FB">
      <w:pPr>
        <w:pStyle w:val="3"/>
        <w:spacing w:before="156" w:after="62"/>
      </w:pPr>
      <w:r>
        <w:rPr>
          <w:rFonts w:hint="eastAsia"/>
        </w:rPr>
        <w:t>2.3.1 信用风险传导</w:t>
      </w:r>
    </w:p>
    <w:p w:rsidR="00D00D0B" w:rsidRDefault="00FD0360" w:rsidP="00CC58E9">
      <w:pPr>
        <w:widowControl/>
        <w:kinsoku w:val="0"/>
        <w:autoSpaceDE w:val="0"/>
        <w:autoSpaceDN w:val="0"/>
        <w:adjustRightInd w:val="0"/>
        <w:snapToGrid w:val="0"/>
        <w:spacing w:beforeLines="50" w:afterLines="20" w:line="240" w:lineRule="auto"/>
        <w:ind w:firstLine="584"/>
        <w:textAlignment w:val="baseline"/>
        <w:rPr>
          <w:rFonts w:ascii="黑体" w:eastAsia="黑体" w:hAnsi="黑体" w:cs="黑体"/>
          <w:bCs/>
          <w:snapToGrid w:val="0"/>
          <w:color w:val="000000" w:themeColor="text1"/>
          <w:spacing w:val="6"/>
          <w:kern w:val="0"/>
          <w:sz w:val="28"/>
          <w:szCs w:val="28"/>
        </w:rPr>
      </w:pPr>
      <w:r>
        <w:rPr>
          <w:rFonts w:ascii="黑体" w:eastAsia="黑体" w:hAnsi="黑体" w:cs="黑体" w:hint="eastAsia"/>
          <w:bCs/>
          <w:snapToGrid w:val="0"/>
          <w:color w:val="000000" w:themeColor="text1"/>
          <w:spacing w:val="6"/>
          <w:kern w:val="0"/>
          <w:sz w:val="28"/>
          <w:szCs w:val="28"/>
        </w:rPr>
        <w:t>1）物理风险驱动</w:t>
      </w:r>
    </w:p>
    <w:p w:rsidR="00D00D0B" w:rsidRDefault="00FD0360">
      <w:pPr>
        <w:widowControl/>
        <w:kinsoku w:val="0"/>
        <w:autoSpaceDE w:val="0"/>
        <w:autoSpaceDN w:val="0"/>
        <w:adjustRightInd w:val="0"/>
        <w:snapToGrid w:val="0"/>
        <w:spacing w:line="240" w:lineRule="auto"/>
        <w:ind w:firstLine="584"/>
        <w:textAlignment w:val="baseline"/>
        <w:rPr>
          <w:rFonts w:ascii="仿宋" w:eastAsia="仿宋" w:hAnsi="仿宋" w:cs="仿宋"/>
          <w:bCs/>
          <w:snapToGrid w:val="0"/>
          <w:color w:val="000000" w:themeColor="text1"/>
          <w:spacing w:val="6"/>
          <w:kern w:val="0"/>
          <w:sz w:val="28"/>
          <w:szCs w:val="28"/>
        </w:rPr>
      </w:pPr>
      <w:r>
        <w:rPr>
          <w:rFonts w:ascii="仿宋" w:eastAsia="仿宋" w:hAnsi="仿宋" w:cs="仿宋" w:hint="eastAsia"/>
          <w:bCs/>
          <w:snapToGrid w:val="0"/>
          <w:color w:val="000000" w:themeColor="text1"/>
          <w:spacing w:val="6"/>
          <w:kern w:val="0"/>
          <w:sz w:val="28"/>
          <w:szCs w:val="28"/>
        </w:rPr>
        <w:t>极端天气事件（如台风、洪水）及海平面上升导致固定资产（如抵押房产）损毁，削弱第二还款来源，推高违约损失率（LGD）。例如，2024年江苏极端高温导致螃蟹养殖业损失超30亿元，引发经营性贷款大面积违约。</w:t>
      </w:r>
    </w:p>
    <w:p w:rsidR="00D00D0B" w:rsidRDefault="00FD0360" w:rsidP="00CC58E9">
      <w:pPr>
        <w:widowControl/>
        <w:kinsoku w:val="0"/>
        <w:autoSpaceDE w:val="0"/>
        <w:autoSpaceDN w:val="0"/>
        <w:adjustRightInd w:val="0"/>
        <w:snapToGrid w:val="0"/>
        <w:spacing w:beforeLines="50" w:afterLines="20" w:line="240" w:lineRule="auto"/>
        <w:ind w:firstLine="584"/>
        <w:textAlignment w:val="baseline"/>
        <w:rPr>
          <w:rFonts w:ascii="黑体" w:eastAsia="黑体" w:hAnsi="黑体" w:cs="黑体"/>
          <w:bCs/>
          <w:snapToGrid w:val="0"/>
          <w:color w:val="000000" w:themeColor="text1"/>
          <w:spacing w:val="6"/>
          <w:kern w:val="0"/>
          <w:sz w:val="28"/>
          <w:szCs w:val="28"/>
        </w:rPr>
      </w:pPr>
      <w:r>
        <w:rPr>
          <w:rFonts w:ascii="黑体" w:eastAsia="黑体" w:hAnsi="黑体" w:cs="黑体" w:hint="eastAsia"/>
          <w:bCs/>
          <w:snapToGrid w:val="0"/>
          <w:color w:val="000000" w:themeColor="text1"/>
          <w:spacing w:val="6"/>
          <w:kern w:val="0"/>
          <w:sz w:val="28"/>
          <w:szCs w:val="28"/>
        </w:rPr>
        <w:t>2）转型风险驱动</w:t>
      </w:r>
    </w:p>
    <w:p w:rsidR="00D00D0B" w:rsidRDefault="00FD0360">
      <w:pPr>
        <w:widowControl/>
        <w:kinsoku w:val="0"/>
        <w:autoSpaceDE w:val="0"/>
        <w:autoSpaceDN w:val="0"/>
        <w:adjustRightInd w:val="0"/>
        <w:snapToGrid w:val="0"/>
        <w:spacing w:line="240" w:lineRule="auto"/>
        <w:ind w:firstLine="584"/>
        <w:textAlignment w:val="baseline"/>
        <w:rPr>
          <w:rFonts w:ascii="仿宋" w:eastAsia="仿宋" w:hAnsi="仿宋" w:cs="仿宋"/>
          <w:bCs/>
          <w:snapToGrid w:val="0"/>
          <w:color w:val="000000" w:themeColor="text1"/>
          <w:spacing w:val="6"/>
          <w:kern w:val="0"/>
          <w:sz w:val="28"/>
          <w:szCs w:val="28"/>
        </w:rPr>
      </w:pPr>
      <w:proofErr w:type="gramStart"/>
      <w:r>
        <w:rPr>
          <w:rFonts w:ascii="仿宋" w:eastAsia="仿宋" w:hAnsi="仿宋" w:cs="仿宋" w:hint="eastAsia"/>
          <w:bCs/>
          <w:snapToGrid w:val="0"/>
          <w:color w:val="000000" w:themeColor="text1"/>
          <w:spacing w:val="6"/>
          <w:kern w:val="0"/>
          <w:sz w:val="28"/>
          <w:szCs w:val="28"/>
        </w:rPr>
        <w:t>碳达峰碳</w:t>
      </w:r>
      <w:proofErr w:type="gramEnd"/>
      <w:r>
        <w:rPr>
          <w:rFonts w:ascii="仿宋" w:eastAsia="仿宋" w:hAnsi="仿宋" w:cs="仿宋" w:hint="eastAsia"/>
          <w:bCs/>
          <w:snapToGrid w:val="0"/>
          <w:color w:val="000000" w:themeColor="text1"/>
          <w:spacing w:val="6"/>
          <w:kern w:val="0"/>
          <w:sz w:val="28"/>
          <w:szCs w:val="28"/>
        </w:rPr>
        <w:t>中和政策（如碳税、技术标准）迫使高碳行业（钢铁、火电）成本攀升，叠加市场需求萎缩（如消费者绿色偏好），企业偿债能力恶化。</w:t>
      </w:r>
      <w:r>
        <w:rPr>
          <w:rFonts w:ascii="仿宋" w:eastAsia="仿宋" w:hAnsi="仿宋" w:cs="仿宋" w:hint="eastAsia"/>
          <w:bCs/>
          <w:snapToGrid w:val="0"/>
          <w:color w:val="000000" w:themeColor="text1"/>
          <w:spacing w:val="6"/>
          <w:kern w:val="0"/>
          <w:sz w:val="28"/>
          <w:szCs w:val="28"/>
        </w:rPr>
        <w:lastRenderedPageBreak/>
        <w:t>国际能源署（IEA）测算，若维持现有政策，2030年全球煤电资产减值风险将达1.6</w:t>
      </w:r>
      <w:proofErr w:type="gramStart"/>
      <w:r>
        <w:rPr>
          <w:rFonts w:ascii="仿宋" w:eastAsia="仿宋" w:hAnsi="仿宋" w:cs="仿宋" w:hint="eastAsia"/>
          <w:bCs/>
          <w:snapToGrid w:val="0"/>
          <w:color w:val="000000" w:themeColor="text1"/>
          <w:spacing w:val="6"/>
          <w:kern w:val="0"/>
          <w:sz w:val="28"/>
          <w:szCs w:val="28"/>
        </w:rPr>
        <w:t>万亿</w:t>
      </w:r>
      <w:proofErr w:type="gramEnd"/>
      <w:r>
        <w:rPr>
          <w:rFonts w:ascii="仿宋" w:eastAsia="仿宋" w:hAnsi="仿宋" w:cs="仿宋" w:hint="eastAsia"/>
          <w:bCs/>
          <w:snapToGrid w:val="0"/>
          <w:color w:val="000000" w:themeColor="text1"/>
          <w:spacing w:val="6"/>
          <w:kern w:val="0"/>
          <w:sz w:val="28"/>
          <w:szCs w:val="28"/>
        </w:rPr>
        <w:t>美元。</w:t>
      </w:r>
    </w:p>
    <w:p w:rsidR="00D00D0B" w:rsidRDefault="00FD0360" w:rsidP="00DB75FB">
      <w:pPr>
        <w:pStyle w:val="3"/>
        <w:spacing w:before="156" w:after="62"/>
      </w:pPr>
      <w:r>
        <w:rPr>
          <w:rFonts w:hint="eastAsia"/>
        </w:rPr>
        <w:t>2.3.2 市场风险传导</w:t>
      </w:r>
    </w:p>
    <w:p w:rsidR="00D00D0B" w:rsidRDefault="00FD0360" w:rsidP="00CC58E9">
      <w:pPr>
        <w:widowControl/>
        <w:kinsoku w:val="0"/>
        <w:autoSpaceDE w:val="0"/>
        <w:autoSpaceDN w:val="0"/>
        <w:adjustRightInd w:val="0"/>
        <w:snapToGrid w:val="0"/>
        <w:spacing w:beforeLines="50" w:afterLines="20" w:line="240" w:lineRule="auto"/>
        <w:ind w:firstLine="584"/>
        <w:textAlignment w:val="baseline"/>
        <w:rPr>
          <w:rFonts w:ascii="黑体" w:eastAsia="黑体" w:hAnsi="黑体" w:cs="黑体"/>
          <w:bCs/>
          <w:snapToGrid w:val="0"/>
          <w:color w:val="000000" w:themeColor="text1"/>
          <w:spacing w:val="6"/>
          <w:kern w:val="0"/>
          <w:sz w:val="28"/>
          <w:szCs w:val="28"/>
        </w:rPr>
      </w:pPr>
      <w:r>
        <w:rPr>
          <w:rFonts w:ascii="黑体" w:eastAsia="黑体" w:hAnsi="黑体" w:cs="黑体" w:hint="eastAsia"/>
          <w:bCs/>
          <w:snapToGrid w:val="0"/>
          <w:color w:val="000000" w:themeColor="text1"/>
          <w:spacing w:val="6"/>
          <w:kern w:val="0"/>
          <w:sz w:val="28"/>
          <w:szCs w:val="28"/>
        </w:rPr>
        <w:t>1）</w:t>
      </w:r>
      <w:r>
        <w:rPr>
          <w:rFonts w:ascii="黑体" w:eastAsia="黑体" w:hAnsi="黑体" w:cs="黑体"/>
          <w:bCs/>
          <w:snapToGrid w:val="0"/>
          <w:color w:val="000000" w:themeColor="text1"/>
          <w:spacing w:val="6"/>
          <w:kern w:val="0"/>
          <w:sz w:val="28"/>
          <w:szCs w:val="28"/>
        </w:rPr>
        <w:t>估值波动</w:t>
      </w:r>
    </w:p>
    <w:p w:rsidR="00D00D0B" w:rsidRDefault="00FD0360">
      <w:pPr>
        <w:widowControl/>
        <w:kinsoku w:val="0"/>
        <w:autoSpaceDE w:val="0"/>
        <w:autoSpaceDN w:val="0"/>
        <w:adjustRightInd w:val="0"/>
        <w:snapToGrid w:val="0"/>
        <w:spacing w:line="240" w:lineRule="auto"/>
        <w:ind w:firstLine="584"/>
        <w:textAlignment w:val="baseline"/>
        <w:rPr>
          <w:rFonts w:ascii="仿宋" w:eastAsia="仿宋" w:hAnsi="仿宋" w:cs="仿宋"/>
          <w:bCs/>
          <w:snapToGrid w:val="0"/>
          <w:color w:val="000000" w:themeColor="text1"/>
          <w:spacing w:val="6"/>
          <w:kern w:val="0"/>
          <w:sz w:val="28"/>
          <w:szCs w:val="28"/>
        </w:rPr>
      </w:pPr>
      <w:r>
        <w:rPr>
          <w:rFonts w:ascii="仿宋" w:eastAsia="仿宋" w:hAnsi="仿宋" w:cs="仿宋"/>
          <w:bCs/>
          <w:snapToGrid w:val="0"/>
          <w:color w:val="000000" w:themeColor="text1"/>
          <w:spacing w:val="6"/>
          <w:kern w:val="0"/>
          <w:sz w:val="28"/>
          <w:szCs w:val="28"/>
        </w:rPr>
        <w:t>气候政策与灾害风险影响企业现金流预期，导致股票、债券估值调整。例如，</w:t>
      </w:r>
      <w:proofErr w:type="gramStart"/>
      <w:r>
        <w:rPr>
          <w:rFonts w:ascii="仿宋" w:eastAsia="仿宋" w:hAnsi="仿宋" w:cs="仿宋"/>
          <w:bCs/>
          <w:snapToGrid w:val="0"/>
          <w:color w:val="000000" w:themeColor="text1"/>
          <w:spacing w:val="6"/>
          <w:kern w:val="0"/>
          <w:sz w:val="28"/>
          <w:szCs w:val="28"/>
        </w:rPr>
        <w:t>欧盟碳价2023年</w:t>
      </w:r>
      <w:proofErr w:type="gramEnd"/>
      <w:r>
        <w:rPr>
          <w:rFonts w:ascii="仿宋" w:eastAsia="仿宋" w:hAnsi="仿宋" w:cs="仿宋"/>
          <w:bCs/>
          <w:snapToGrid w:val="0"/>
          <w:color w:val="000000" w:themeColor="text1"/>
          <w:spacing w:val="6"/>
          <w:kern w:val="0"/>
          <w:sz w:val="28"/>
          <w:szCs w:val="28"/>
        </w:rPr>
        <w:t>同比上涨200%，火电企业市值缩水超30%。</w:t>
      </w:r>
    </w:p>
    <w:p w:rsidR="00D00D0B" w:rsidRDefault="00FD0360" w:rsidP="00CC58E9">
      <w:pPr>
        <w:widowControl/>
        <w:kinsoku w:val="0"/>
        <w:autoSpaceDE w:val="0"/>
        <w:autoSpaceDN w:val="0"/>
        <w:adjustRightInd w:val="0"/>
        <w:snapToGrid w:val="0"/>
        <w:spacing w:beforeLines="50" w:afterLines="20" w:line="240" w:lineRule="auto"/>
        <w:ind w:firstLine="584"/>
        <w:textAlignment w:val="baseline"/>
        <w:rPr>
          <w:rFonts w:ascii="黑体" w:eastAsia="黑体" w:hAnsi="黑体" w:cs="黑体"/>
          <w:bCs/>
          <w:snapToGrid w:val="0"/>
          <w:color w:val="000000" w:themeColor="text1"/>
          <w:spacing w:val="6"/>
          <w:kern w:val="0"/>
          <w:sz w:val="28"/>
          <w:szCs w:val="28"/>
        </w:rPr>
      </w:pPr>
      <w:r>
        <w:rPr>
          <w:rFonts w:ascii="黑体" w:eastAsia="黑体" w:hAnsi="黑体" w:cs="黑体" w:hint="eastAsia"/>
          <w:bCs/>
          <w:snapToGrid w:val="0"/>
          <w:color w:val="000000" w:themeColor="text1"/>
          <w:spacing w:val="6"/>
          <w:kern w:val="0"/>
          <w:sz w:val="28"/>
          <w:szCs w:val="28"/>
        </w:rPr>
        <w:t>2）</w:t>
      </w:r>
      <w:r>
        <w:rPr>
          <w:rFonts w:ascii="黑体" w:eastAsia="黑体" w:hAnsi="黑体" w:cs="黑体"/>
          <w:bCs/>
          <w:snapToGrid w:val="0"/>
          <w:color w:val="000000" w:themeColor="text1"/>
          <w:spacing w:val="6"/>
          <w:kern w:val="0"/>
          <w:sz w:val="28"/>
          <w:szCs w:val="28"/>
        </w:rPr>
        <w:t>大宗商品震荡</w:t>
      </w:r>
    </w:p>
    <w:p w:rsidR="00D00D0B" w:rsidRDefault="00FD0360">
      <w:pPr>
        <w:widowControl/>
        <w:kinsoku w:val="0"/>
        <w:autoSpaceDE w:val="0"/>
        <w:autoSpaceDN w:val="0"/>
        <w:adjustRightInd w:val="0"/>
        <w:snapToGrid w:val="0"/>
        <w:spacing w:line="240" w:lineRule="auto"/>
        <w:ind w:firstLine="584"/>
        <w:textAlignment w:val="baseline"/>
        <w:rPr>
          <w:rFonts w:ascii="仿宋" w:eastAsia="仿宋" w:hAnsi="仿宋" w:cs="仿宋"/>
          <w:bCs/>
          <w:snapToGrid w:val="0"/>
          <w:color w:val="000000" w:themeColor="text1"/>
          <w:spacing w:val="6"/>
          <w:kern w:val="0"/>
          <w:sz w:val="28"/>
          <w:szCs w:val="28"/>
        </w:rPr>
      </w:pPr>
      <w:r>
        <w:rPr>
          <w:rFonts w:ascii="仿宋" w:eastAsia="仿宋" w:hAnsi="仿宋" w:cs="仿宋"/>
          <w:bCs/>
          <w:snapToGrid w:val="0"/>
          <w:color w:val="000000" w:themeColor="text1"/>
          <w:spacing w:val="6"/>
          <w:kern w:val="0"/>
          <w:sz w:val="28"/>
          <w:szCs w:val="28"/>
        </w:rPr>
        <w:t>能源转型推动可再生能源替代，原油、煤炭价格波动加剧。世界银行预测，若2030年全球温升控制在1.5℃，布伦</w:t>
      </w:r>
      <w:proofErr w:type="gramStart"/>
      <w:r>
        <w:rPr>
          <w:rFonts w:ascii="仿宋" w:eastAsia="仿宋" w:hAnsi="仿宋" w:cs="仿宋"/>
          <w:bCs/>
          <w:snapToGrid w:val="0"/>
          <w:color w:val="000000" w:themeColor="text1"/>
          <w:spacing w:val="6"/>
          <w:kern w:val="0"/>
          <w:sz w:val="28"/>
          <w:szCs w:val="28"/>
        </w:rPr>
        <w:t>特</w:t>
      </w:r>
      <w:proofErr w:type="gramEnd"/>
      <w:r>
        <w:rPr>
          <w:rFonts w:ascii="仿宋" w:eastAsia="仿宋" w:hAnsi="仿宋" w:cs="仿宋"/>
          <w:bCs/>
          <w:snapToGrid w:val="0"/>
          <w:color w:val="000000" w:themeColor="text1"/>
          <w:spacing w:val="6"/>
          <w:kern w:val="0"/>
          <w:sz w:val="28"/>
          <w:szCs w:val="28"/>
        </w:rPr>
        <w:t>原油均价或跌至40美元/桶以下。同时，极端气候推高粮食价格，2023年全球食品价格指数因干旱上涨23%。</w:t>
      </w:r>
    </w:p>
    <w:p w:rsidR="00D00D0B" w:rsidRDefault="00FD0360" w:rsidP="00DB75FB">
      <w:pPr>
        <w:pStyle w:val="3"/>
        <w:spacing w:before="156" w:after="62"/>
      </w:pPr>
      <w:r>
        <w:rPr>
          <w:rFonts w:hint="eastAsia"/>
        </w:rPr>
        <w:t>2.3.3 流动性风险传导</w:t>
      </w:r>
    </w:p>
    <w:p w:rsidR="00D00D0B" w:rsidRDefault="00FD0360" w:rsidP="00CC58E9">
      <w:pPr>
        <w:widowControl/>
        <w:kinsoku w:val="0"/>
        <w:autoSpaceDE w:val="0"/>
        <w:autoSpaceDN w:val="0"/>
        <w:adjustRightInd w:val="0"/>
        <w:snapToGrid w:val="0"/>
        <w:spacing w:beforeLines="50" w:afterLines="20" w:line="240" w:lineRule="auto"/>
        <w:ind w:firstLine="584"/>
        <w:textAlignment w:val="baseline"/>
        <w:rPr>
          <w:rFonts w:ascii="黑体" w:eastAsia="黑体" w:hAnsi="黑体" w:cs="黑体"/>
          <w:bCs/>
          <w:snapToGrid w:val="0"/>
          <w:color w:val="000000" w:themeColor="text1"/>
          <w:spacing w:val="6"/>
          <w:kern w:val="0"/>
          <w:sz w:val="28"/>
          <w:szCs w:val="28"/>
        </w:rPr>
      </w:pPr>
      <w:r>
        <w:rPr>
          <w:rFonts w:ascii="黑体" w:eastAsia="黑体" w:hAnsi="黑体" w:cs="黑体" w:hint="eastAsia"/>
          <w:bCs/>
          <w:snapToGrid w:val="0"/>
          <w:color w:val="000000" w:themeColor="text1"/>
          <w:spacing w:val="6"/>
          <w:kern w:val="0"/>
          <w:sz w:val="28"/>
          <w:szCs w:val="28"/>
        </w:rPr>
        <w:t>1）</w:t>
      </w:r>
      <w:r>
        <w:rPr>
          <w:rFonts w:ascii="黑体" w:eastAsia="黑体" w:hAnsi="黑体" w:cs="黑体"/>
          <w:bCs/>
          <w:snapToGrid w:val="0"/>
          <w:color w:val="000000" w:themeColor="text1"/>
          <w:spacing w:val="6"/>
          <w:kern w:val="0"/>
          <w:sz w:val="28"/>
          <w:szCs w:val="28"/>
        </w:rPr>
        <w:t>资产贬值与抛售压力</w:t>
      </w:r>
    </w:p>
    <w:p w:rsidR="00D00D0B" w:rsidRDefault="00FD0360">
      <w:pPr>
        <w:widowControl/>
        <w:kinsoku w:val="0"/>
        <w:autoSpaceDE w:val="0"/>
        <w:autoSpaceDN w:val="0"/>
        <w:adjustRightInd w:val="0"/>
        <w:snapToGrid w:val="0"/>
        <w:spacing w:line="240" w:lineRule="auto"/>
        <w:ind w:firstLine="584"/>
        <w:textAlignment w:val="baseline"/>
        <w:rPr>
          <w:rFonts w:ascii="仿宋" w:eastAsia="仿宋" w:hAnsi="仿宋" w:cs="仿宋"/>
          <w:bCs/>
          <w:snapToGrid w:val="0"/>
          <w:color w:val="000000" w:themeColor="text1"/>
          <w:spacing w:val="6"/>
          <w:kern w:val="0"/>
          <w:sz w:val="28"/>
          <w:szCs w:val="28"/>
        </w:rPr>
      </w:pPr>
      <w:r>
        <w:rPr>
          <w:rFonts w:ascii="仿宋" w:eastAsia="仿宋" w:hAnsi="仿宋" w:cs="仿宋"/>
          <w:bCs/>
          <w:snapToGrid w:val="0"/>
          <w:color w:val="000000" w:themeColor="text1"/>
          <w:spacing w:val="6"/>
          <w:kern w:val="0"/>
          <w:sz w:val="28"/>
          <w:szCs w:val="28"/>
        </w:rPr>
        <w:t>金融机构持有的“棕色资产”（如高碳行业贷款）因政策收紧或声誉风险遭抛售，流动性储备骤降。如2022年欧盟碳关税实施后，钢铁行业信贷违约率上升18%，银行被迫收紧信贷额度。</w:t>
      </w:r>
    </w:p>
    <w:p w:rsidR="00D00D0B" w:rsidRDefault="00FD0360" w:rsidP="00CC58E9">
      <w:pPr>
        <w:widowControl/>
        <w:kinsoku w:val="0"/>
        <w:autoSpaceDE w:val="0"/>
        <w:autoSpaceDN w:val="0"/>
        <w:adjustRightInd w:val="0"/>
        <w:snapToGrid w:val="0"/>
        <w:spacing w:beforeLines="50" w:afterLines="20" w:line="240" w:lineRule="auto"/>
        <w:ind w:firstLine="584"/>
        <w:textAlignment w:val="baseline"/>
        <w:rPr>
          <w:rFonts w:ascii="黑体" w:eastAsia="黑体" w:hAnsi="黑体" w:cs="黑体"/>
          <w:bCs/>
          <w:snapToGrid w:val="0"/>
          <w:color w:val="000000" w:themeColor="text1"/>
          <w:spacing w:val="6"/>
          <w:kern w:val="0"/>
          <w:sz w:val="28"/>
          <w:szCs w:val="28"/>
        </w:rPr>
      </w:pPr>
      <w:r>
        <w:rPr>
          <w:rFonts w:ascii="黑体" w:eastAsia="黑体" w:hAnsi="黑体" w:cs="黑体" w:hint="eastAsia"/>
          <w:bCs/>
          <w:snapToGrid w:val="0"/>
          <w:color w:val="000000" w:themeColor="text1"/>
          <w:spacing w:val="6"/>
          <w:kern w:val="0"/>
          <w:sz w:val="28"/>
          <w:szCs w:val="28"/>
        </w:rPr>
        <w:t>2）</w:t>
      </w:r>
      <w:r>
        <w:rPr>
          <w:rFonts w:ascii="黑体" w:eastAsia="黑体" w:hAnsi="黑体" w:cs="黑体"/>
          <w:bCs/>
          <w:snapToGrid w:val="0"/>
          <w:color w:val="000000" w:themeColor="text1"/>
          <w:spacing w:val="6"/>
          <w:kern w:val="0"/>
          <w:sz w:val="28"/>
          <w:szCs w:val="28"/>
        </w:rPr>
        <w:t>资金获取受阻</w:t>
      </w:r>
    </w:p>
    <w:p w:rsidR="00D00D0B" w:rsidRDefault="00FD0360">
      <w:pPr>
        <w:widowControl/>
        <w:kinsoku w:val="0"/>
        <w:autoSpaceDE w:val="0"/>
        <w:autoSpaceDN w:val="0"/>
        <w:adjustRightInd w:val="0"/>
        <w:snapToGrid w:val="0"/>
        <w:spacing w:line="240" w:lineRule="auto"/>
        <w:ind w:firstLine="584"/>
        <w:textAlignment w:val="baseline"/>
        <w:rPr>
          <w:rFonts w:ascii="仿宋" w:eastAsia="仿宋" w:hAnsi="仿宋" w:cs="仿宋"/>
          <w:bCs/>
          <w:snapToGrid w:val="0"/>
          <w:color w:val="000000" w:themeColor="text1"/>
          <w:spacing w:val="6"/>
          <w:kern w:val="0"/>
          <w:sz w:val="28"/>
          <w:szCs w:val="28"/>
        </w:rPr>
      </w:pPr>
      <w:r>
        <w:rPr>
          <w:rFonts w:ascii="仿宋" w:eastAsia="仿宋" w:hAnsi="仿宋" w:cs="仿宋"/>
          <w:bCs/>
          <w:snapToGrid w:val="0"/>
          <w:color w:val="000000" w:themeColor="text1"/>
          <w:spacing w:val="6"/>
          <w:kern w:val="0"/>
          <w:sz w:val="28"/>
          <w:szCs w:val="28"/>
        </w:rPr>
        <w:t>气候风险暴露导致融资成本上升。穆迪数据显示，ESG评级BBB级以下企业债券利差较AAA级高出2.3个百分点，融资缺口年均扩大15%。</w:t>
      </w:r>
    </w:p>
    <w:p w:rsidR="00D00D0B" w:rsidRDefault="00FD0360" w:rsidP="00DB75FB">
      <w:pPr>
        <w:pStyle w:val="3"/>
        <w:spacing w:before="156" w:after="62"/>
      </w:pPr>
      <w:r>
        <w:rPr>
          <w:rFonts w:hint="eastAsia"/>
        </w:rPr>
        <w:t>2.3.4 操作风险传导</w:t>
      </w:r>
    </w:p>
    <w:p w:rsidR="00D00D0B" w:rsidRDefault="00FD0360" w:rsidP="00CC58E9">
      <w:pPr>
        <w:widowControl/>
        <w:kinsoku w:val="0"/>
        <w:autoSpaceDE w:val="0"/>
        <w:autoSpaceDN w:val="0"/>
        <w:adjustRightInd w:val="0"/>
        <w:snapToGrid w:val="0"/>
        <w:spacing w:beforeLines="50" w:afterLines="20" w:line="240" w:lineRule="auto"/>
        <w:ind w:firstLine="584"/>
        <w:textAlignment w:val="baseline"/>
        <w:rPr>
          <w:rFonts w:ascii="黑体" w:eastAsia="黑体" w:hAnsi="黑体" w:cs="黑体"/>
          <w:bCs/>
          <w:snapToGrid w:val="0"/>
          <w:color w:val="000000" w:themeColor="text1"/>
          <w:spacing w:val="6"/>
          <w:kern w:val="0"/>
          <w:sz w:val="28"/>
          <w:szCs w:val="28"/>
        </w:rPr>
      </w:pPr>
      <w:r>
        <w:rPr>
          <w:rFonts w:ascii="黑体" w:eastAsia="黑体" w:hAnsi="黑体" w:cs="黑体" w:hint="eastAsia"/>
          <w:bCs/>
          <w:snapToGrid w:val="0"/>
          <w:color w:val="000000" w:themeColor="text1"/>
          <w:spacing w:val="6"/>
          <w:kern w:val="0"/>
          <w:sz w:val="28"/>
          <w:szCs w:val="28"/>
        </w:rPr>
        <w:t>1）物理冲击</w:t>
      </w:r>
    </w:p>
    <w:p w:rsidR="00D00D0B" w:rsidRDefault="00FD0360">
      <w:pPr>
        <w:widowControl/>
        <w:kinsoku w:val="0"/>
        <w:autoSpaceDE w:val="0"/>
        <w:autoSpaceDN w:val="0"/>
        <w:adjustRightInd w:val="0"/>
        <w:snapToGrid w:val="0"/>
        <w:spacing w:line="240" w:lineRule="auto"/>
        <w:ind w:firstLine="584"/>
        <w:textAlignment w:val="baseline"/>
        <w:rPr>
          <w:rFonts w:ascii="仿宋" w:eastAsia="仿宋" w:hAnsi="仿宋" w:cs="仿宋"/>
          <w:bCs/>
          <w:snapToGrid w:val="0"/>
          <w:color w:val="000000" w:themeColor="text1"/>
          <w:spacing w:val="6"/>
          <w:kern w:val="0"/>
          <w:sz w:val="28"/>
          <w:szCs w:val="28"/>
        </w:rPr>
      </w:pPr>
      <w:r>
        <w:rPr>
          <w:rFonts w:ascii="仿宋" w:eastAsia="仿宋" w:hAnsi="仿宋" w:cs="仿宋" w:hint="eastAsia"/>
          <w:bCs/>
          <w:snapToGrid w:val="0"/>
          <w:color w:val="000000" w:themeColor="text1"/>
          <w:spacing w:val="6"/>
          <w:kern w:val="0"/>
          <w:sz w:val="28"/>
          <w:szCs w:val="28"/>
        </w:rPr>
        <w:t>自然灾害直接导致金融机构营业中断。2023年台风</w:t>
      </w:r>
      <w:proofErr w:type="gramStart"/>
      <w:r>
        <w:rPr>
          <w:rFonts w:ascii="仿宋" w:eastAsia="仿宋" w:hAnsi="仿宋" w:cs="仿宋" w:hint="eastAsia"/>
          <w:bCs/>
          <w:snapToGrid w:val="0"/>
          <w:color w:val="000000" w:themeColor="text1"/>
          <w:spacing w:val="6"/>
          <w:kern w:val="0"/>
          <w:sz w:val="28"/>
          <w:szCs w:val="28"/>
        </w:rPr>
        <w:t>“杜苏芮”致长三角</w:t>
      </w:r>
      <w:proofErr w:type="gramEnd"/>
      <w:r>
        <w:rPr>
          <w:rFonts w:ascii="仿宋" w:eastAsia="仿宋" w:hAnsi="仿宋" w:cs="仿宋" w:hint="eastAsia"/>
          <w:bCs/>
          <w:snapToGrid w:val="0"/>
          <w:color w:val="000000" w:themeColor="text1"/>
          <w:spacing w:val="6"/>
          <w:kern w:val="0"/>
          <w:sz w:val="28"/>
          <w:szCs w:val="28"/>
        </w:rPr>
        <w:t>地区23家银行网点停业，日均业务损失超1.2亿元。</w:t>
      </w:r>
    </w:p>
    <w:p w:rsidR="00D00D0B" w:rsidRDefault="00FD0360" w:rsidP="00CC58E9">
      <w:pPr>
        <w:widowControl/>
        <w:kinsoku w:val="0"/>
        <w:autoSpaceDE w:val="0"/>
        <w:autoSpaceDN w:val="0"/>
        <w:adjustRightInd w:val="0"/>
        <w:snapToGrid w:val="0"/>
        <w:spacing w:beforeLines="50" w:afterLines="20" w:line="240" w:lineRule="auto"/>
        <w:ind w:firstLine="584"/>
        <w:textAlignment w:val="baseline"/>
        <w:rPr>
          <w:rFonts w:ascii="黑体" w:eastAsia="黑体" w:hAnsi="黑体" w:cs="黑体"/>
          <w:bCs/>
          <w:snapToGrid w:val="0"/>
          <w:color w:val="000000" w:themeColor="text1"/>
          <w:spacing w:val="6"/>
          <w:kern w:val="0"/>
          <w:sz w:val="28"/>
          <w:szCs w:val="28"/>
        </w:rPr>
      </w:pPr>
      <w:r>
        <w:rPr>
          <w:rFonts w:ascii="黑体" w:eastAsia="黑体" w:hAnsi="黑体" w:cs="黑体" w:hint="eastAsia"/>
          <w:bCs/>
          <w:snapToGrid w:val="0"/>
          <w:color w:val="000000" w:themeColor="text1"/>
          <w:spacing w:val="6"/>
          <w:kern w:val="0"/>
          <w:sz w:val="28"/>
          <w:szCs w:val="28"/>
        </w:rPr>
        <w:t>2）合</w:t>
      </w:r>
      <w:proofErr w:type="gramStart"/>
      <w:r>
        <w:rPr>
          <w:rFonts w:ascii="黑体" w:eastAsia="黑体" w:hAnsi="黑体" w:cs="黑体" w:hint="eastAsia"/>
          <w:bCs/>
          <w:snapToGrid w:val="0"/>
          <w:color w:val="000000" w:themeColor="text1"/>
          <w:spacing w:val="6"/>
          <w:kern w:val="0"/>
          <w:sz w:val="28"/>
          <w:szCs w:val="28"/>
        </w:rPr>
        <w:t>规</w:t>
      </w:r>
      <w:proofErr w:type="gramEnd"/>
      <w:r>
        <w:rPr>
          <w:rFonts w:ascii="黑体" w:eastAsia="黑体" w:hAnsi="黑体" w:cs="黑体" w:hint="eastAsia"/>
          <w:bCs/>
          <w:snapToGrid w:val="0"/>
          <w:color w:val="000000" w:themeColor="text1"/>
          <w:spacing w:val="6"/>
          <w:kern w:val="0"/>
          <w:sz w:val="28"/>
          <w:szCs w:val="28"/>
        </w:rPr>
        <w:t>成本激增</w:t>
      </w:r>
    </w:p>
    <w:p w:rsidR="00D00D0B" w:rsidRDefault="00FD0360">
      <w:pPr>
        <w:widowControl/>
        <w:kinsoku w:val="0"/>
        <w:autoSpaceDE w:val="0"/>
        <w:autoSpaceDN w:val="0"/>
        <w:adjustRightInd w:val="0"/>
        <w:snapToGrid w:val="0"/>
        <w:spacing w:line="240" w:lineRule="auto"/>
        <w:ind w:firstLine="584"/>
        <w:textAlignment w:val="baseline"/>
        <w:rPr>
          <w:rFonts w:ascii="仿宋" w:eastAsia="仿宋" w:hAnsi="仿宋" w:cs="仿宋"/>
          <w:bCs/>
          <w:snapToGrid w:val="0"/>
          <w:color w:val="000000" w:themeColor="text1"/>
          <w:spacing w:val="6"/>
          <w:kern w:val="0"/>
          <w:sz w:val="28"/>
          <w:szCs w:val="28"/>
        </w:rPr>
      </w:pPr>
      <w:r>
        <w:rPr>
          <w:rFonts w:ascii="仿宋" w:eastAsia="仿宋" w:hAnsi="仿宋" w:cs="仿宋" w:hint="eastAsia"/>
          <w:bCs/>
          <w:snapToGrid w:val="0"/>
          <w:color w:val="000000" w:themeColor="text1"/>
          <w:spacing w:val="6"/>
          <w:kern w:val="0"/>
          <w:sz w:val="28"/>
          <w:szCs w:val="28"/>
        </w:rPr>
        <w:t>气候政策频繁调整引发法律纠纷。欧盟CBAM（碳边境调节机制）实施后，钢铁出口企业合</w:t>
      </w:r>
      <w:proofErr w:type="gramStart"/>
      <w:r>
        <w:rPr>
          <w:rFonts w:ascii="仿宋" w:eastAsia="仿宋" w:hAnsi="仿宋" w:cs="仿宋" w:hint="eastAsia"/>
          <w:bCs/>
          <w:snapToGrid w:val="0"/>
          <w:color w:val="000000" w:themeColor="text1"/>
          <w:spacing w:val="6"/>
          <w:kern w:val="0"/>
          <w:sz w:val="28"/>
          <w:szCs w:val="28"/>
        </w:rPr>
        <w:t>规</w:t>
      </w:r>
      <w:proofErr w:type="gramEnd"/>
      <w:r>
        <w:rPr>
          <w:rFonts w:ascii="仿宋" w:eastAsia="仿宋" w:hAnsi="仿宋" w:cs="仿宋" w:hint="eastAsia"/>
          <w:bCs/>
          <w:snapToGrid w:val="0"/>
          <w:color w:val="000000" w:themeColor="text1"/>
          <w:spacing w:val="6"/>
          <w:kern w:val="0"/>
          <w:sz w:val="28"/>
          <w:szCs w:val="28"/>
        </w:rPr>
        <w:t>成本增加35%，相关衍生诉讼案件同比上升40%。</w:t>
      </w:r>
    </w:p>
    <w:p w:rsidR="00D00D0B" w:rsidRDefault="00FD0360" w:rsidP="00DB75FB">
      <w:pPr>
        <w:pStyle w:val="3"/>
        <w:spacing w:before="156" w:after="62"/>
      </w:pPr>
      <w:r>
        <w:rPr>
          <w:rFonts w:hint="eastAsia"/>
        </w:rPr>
        <w:t>2.3.5 承保风险传导</w:t>
      </w:r>
    </w:p>
    <w:p w:rsidR="00D00D0B" w:rsidRDefault="00FD0360" w:rsidP="00CC58E9">
      <w:pPr>
        <w:widowControl/>
        <w:kinsoku w:val="0"/>
        <w:autoSpaceDE w:val="0"/>
        <w:autoSpaceDN w:val="0"/>
        <w:adjustRightInd w:val="0"/>
        <w:snapToGrid w:val="0"/>
        <w:spacing w:beforeLines="50" w:afterLines="20" w:line="240" w:lineRule="auto"/>
        <w:ind w:firstLine="584"/>
        <w:textAlignment w:val="baseline"/>
        <w:rPr>
          <w:rFonts w:ascii="黑体" w:eastAsia="黑体" w:hAnsi="黑体" w:cs="黑体"/>
          <w:bCs/>
          <w:snapToGrid w:val="0"/>
          <w:color w:val="000000" w:themeColor="text1"/>
          <w:spacing w:val="6"/>
          <w:kern w:val="0"/>
          <w:sz w:val="28"/>
          <w:szCs w:val="28"/>
        </w:rPr>
      </w:pPr>
      <w:r>
        <w:rPr>
          <w:rFonts w:ascii="黑体" w:eastAsia="黑体" w:hAnsi="黑体" w:cs="黑体" w:hint="eastAsia"/>
          <w:bCs/>
          <w:snapToGrid w:val="0"/>
          <w:color w:val="000000" w:themeColor="text1"/>
          <w:spacing w:val="6"/>
          <w:kern w:val="0"/>
          <w:sz w:val="28"/>
          <w:szCs w:val="28"/>
        </w:rPr>
        <w:t>1）</w:t>
      </w:r>
      <w:r>
        <w:rPr>
          <w:rFonts w:ascii="黑体" w:eastAsia="黑体" w:hAnsi="黑体" w:cs="黑体"/>
          <w:bCs/>
          <w:snapToGrid w:val="0"/>
          <w:color w:val="000000" w:themeColor="text1"/>
          <w:spacing w:val="6"/>
          <w:kern w:val="0"/>
          <w:sz w:val="28"/>
          <w:szCs w:val="28"/>
        </w:rPr>
        <w:t>赔付率攀升</w:t>
      </w:r>
    </w:p>
    <w:p w:rsidR="00D00D0B" w:rsidRDefault="00FD0360">
      <w:pPr>
        <w:widowControl/>
        <w:kinsoku w:val="0"/>
        <w:autoSpaceDE w:val="0"/>
        <w:autoSpaceDN w:val="0"/>
        <w:adjustRightInd w:val="0"/>
        <w:snapToGrid w:val="0"/>
        <w:spacing w:line="240" w:lineRule="auto"/>
        <w:ind w:firstLine="584"/>
        <w:textAlignment w:val="baseline"/>
        <w:rPr>
          <w:rFonts w:ascii="仿宋" w:eastAsia="仿宋" w:hAnsi="仿宋" w:cs="仿宋"/>
          <w:bCs/>
          <w:snapToGrid w:val="0"/>
          <w:color w:val="000000" w:themeColor="text1"/>
          <w:spacing w:val="6"/>
          <w:kern w:val="0"/>
          <w:sz w:val="28"/>
          <w:szCs w:val="28"/>
        </w:rPr>
      </w:pPr>
      <w:r>
        <w:rPr>
          <w:rFonts w:ascii="仿宋" w:eastAsia="仿宋" w:hAnsi="仿宋" w:cs="仿宋"/>
          <w:bCs/>
          <w:snapToGrid w:val="0"/>
          <w:color w:val="000000" w:themeColor="text1"/>
          <w:spacing w:val="6"/>
          <w:kern w:val="0"/>
          <w:sz w:val="28"/>
          <w:szCs w:val="28"/>
        </w:rPr>
        <w:t>极端气候导致保险赔付压力陡增。慕尼黑再保险数据显示，2023年全球自然灾害赔付额达1200亿美元，创历史新高。美国佛罗里达州飓风季保险费率同比上涨60%。</w:t>
      </w:r>
    </w:p>
    <w:p w:rsidR="00D00D0B" w:rsidRDefault="00FD0360" w:rsidP="00CC58E9">
      <w:pPr>
        <w:widowControl/>
        <w:kinsoku w:val="0"/>
        <w:autoSpaceDE w:val="0"/>
        <w:autoSpaceDN w:val="0"/>
        <w:adjustRightInd w:val="0"/>
        <w:snapToGrid w:val="0"/>
        <w:spacing w:beforeLines="50" w:afterLines="20" w:line="240" w:lineRule="auto"/>
        <w:ind w:firstLine="584"/>
        <w:textAlignment w:val="baseline"/>
        <w:rPr>
          <w:rFonts w:ascii="黑体" w:eastAsia="黑体" w:hAnsi="黑体" w:cs="黑体"/>
          <w:bCs/>
          <w:snapToGrid w:val="0"/>
          <w:color w:val="000000" w:themeColor="text1"/>
          <w:spacing w:val="6"/>
          <w:kern w:val="0"/>
          <w:sz w:val="28"/>
          <w:szCs w:val="28"/>
        </w:rPr>
      </w:pPr>
      <w:r>
        <w:rPr>
          <w:rFonts w:ascii="黑体" w:eastAsia="黑体" w:hAnsi="黑体" w:cs="黑体" w:hint="eastAsia"/>
          <w:bCs/>
          <w:snapToGrid w:val="0"/>
          <w:color w:val="000000" w:themeColor="text1"/>
          <w:spacing w:val="6"/>
          <w:kern w:val="0"/>
          <w:sz w:val="28"/>
          <w:szCs w:val="28"/>
        </w:rPr>
        <w:t>2）</w:t>
      </w:r>
      <w:r>
        <w:rPr>
          <w:rFonts w:ascii="黑体" w:eastAsia="黑体" w:hAnsi="黑体" w:cs="黑体"/>
          <w:bCs/>
          <w:snapToGrid w:val="0"/>
          <w:color w:val="000000" w:themeColor="text1"/>
          <w:spacing w:val="6"/>
          <w:kern w:val="0"/>
          <w:sz w:val="28"/>
          <w:szCs w:val="28"/>
        </w:rPr>
        <w:t>定价模型失效</w:t>
      </w:r>
    </w:p>
    <w:p w:rsidR="00D00D0B" w:rsidRDefault="00FD0360">
      <w:pPr>
        <w:widowControl/>
        <w:kinsoku w:val="0"/>
        <w:autoSpaceDE w:val="0"/>
        <w:autoSpaceDN w:val="0"/>
        <w:adjustRightInd w:val="0"/>
        <w:snapToGrid w:val="0"/>
        <w:spacing w:line="240" w:lineRule="auto"/>
        <w:ind w:firstLine="584"/>
        <w:textAlignment w:val="baseline"/>
        <w:rPr>
          <w:rFonts w:ascii="仿宋" w:eastAsia="仿宋" w:hAnsi="仿宋" w:cs="仿宋"/>
          <w:bCs/>
          <w:snapToGrid w:val="0"/>
          <w:color w:val="000000" w:themeColor="text1"/>
          <w:spacing w:val="6"/>
          <w:kern w:val="0"/>
          <w:sz w:val="28"/>
          <w:szCs w:val="28"/>
        </w:rPr>
      </w:pPr>
      <w:r>
        <w:rPr>
          <w:rFonts w:ascii="仿宋" w:eastAsia="仿宋" w:hAnsi="仿宋" w:cs="仿宋"/>
          <w:bCs/>
          <w:snapToGrid w:val="0"/>
          <w:color w:val="000000" w:themeColor="text1"/>
          <w:spacing w:val="6"/>
          <w:kern w:val="0"/>
          <w:sz w:val="28"/>
          <w:szCs w:val="28"/>
        </w:rPr>
        <w:lastRenderedPageBreak/>
        <w:t>传统精算模型未充分纳入气候风险因子。瑞士再保险研究表明，未调整模型的财险公司在百年一遇洪灾中潜在损失低估率达40%。</w:t>
      </w:r>
    </w:p>
    <w:p w:rsidR="00D00D0B" w:rsidRDefault="00FD0360" w:rsidP="00DB75FB">
      <w:pPr>
        <w:pStyle w:val="3"/>
        <w:spacing w:before="156" w:after="62"/>
      </w:pPr>
      <w:r>
        <w:rPr>
          <w:rFonts w:hint="eastAsia"/>
        </w:rPr>
        <w:t>2.3.6 循环反馈效应</w:t>
      </w:r>
    </w:p>
    <w:p w:rsidR="00D00D0B" w:rsidRDefault="00FD0360">
      <w:pPr>
        <w:widowControl/>
        <w:kinsoku w:val="0"/>
        <w:autoSpaceDE w:val="0"/>
        <w:autoSpaceDN w:val="0"/>
        <w:adjustRightInd w:val="0"/>
        <w:snapToGrid w:val="0"/>
        <w:spacing w:line="240" w:lineRule="auto"/>
        <w:ind w:firstLine="584"/>
        <w:textAlignment w:val="baseline"/>
        <w:rPr>
          <w:rFonts w:ascii="黑体" w:eastAsia="黑体" w:hAnsi="黑体" w:cs="黑体"/>
          <w:bCs/>
          <w:color w:val="000000" w:themeColor="text1"/>
          <w:szCs w:val="32"/>
        </w:rPr>
      </w:pPr>
      <w:r>
        <w:rPr>
          <w:rFonts w:ascii="仿宋" w:eastAsia="仿宋" w:hAnsi="仿宋" w:cs="仿宋"/>
          <w:bCs/>
          <w:snapToGrid w:val="0"/>
          <w:color w:val="000000" w:themeColor="text1"/>
          <w:spacing w:val="6"/>
          <w:kern w:val="0"/>
          <w:sz w:val="28"/>
          <w:szCs w:val="28"/>
        </w:rPr>
        <w:t>气候风险与金融体系形成双向强化循环：灾害损失→信贷收缩</w:t>
      </w:r>
      <w:r>
        <w:rPr>
          <w:rFonts w:ascii="仿宋" w:eastAsia="仿宋" w:hAnsi="仿宋" w:cs="仿宋" w:hint="eastAsia"/>
          <w:bCs/>
          <w:snapToGrid w:val="0"/>
          <w:color w:val="000000" w:themeColor="text1"/>
          <w:spacing w:val="6"/>
          <w:kern w:val="0"/>
          <w:sz w:val="28"/>
          <w:szCs w:val="28"/>
        </w:rPr>
        <w:t>，</w:t>
      </w:r>
      <w:r>
        <w:rPr>
          <w:rFonts w:ascii="仿宋" w:eastAsia="仿宋" w:hAnsi="仿宋" w:cs="仿宋"/>
          <w:bCs/>
          <w:snapToGrid w:val="0"/>
          <w:color w:val="000000" w:themeColor="text1"/>
          <w:spacing w:val="6"/>
          <w:kern w:val="0"/>
          <w:sz w:val="28"/>
          <w:szCs w:val="28"/>
        </w:rPr>
        <w:t>资产贬值导致银行惜贷，企业融资渠道收窄；经济放缓→风险放大</w:t>
      </w:r>
      <w:r>
        <w:rPr>
          <w:rFonts w:ascii="仿宋" w:eastAsia="仿宋" w:hAnsi="仿宋" w:cs="仿宋" w:hint="eastAsia"/>
          <w:bCs/>
          <w:snapToGrid w:val="0"/>
          <w:color w:val="000000" w:themeColor="text1"/>
          <w:spacing w:val="6"/>
          <w:kern w:val="0"/>
          <w:sz w:val="28"/>
          <w:szCs w:val="28"/>
        </w:rPr>
        <w:t>，</w:t>
      </w:r>
      <w:r>
        <w:rPr>
          <w:rFonts w:ascii="仿宋" w:eastAsia="仿宋" w:hAnsi="仿宋" w:cs="仿宋"/>
          <w:bCs/>
          <w:snapToGrid w:val="0"/>
          <w:color w:val="000000" w:themeColor="text1"/>
          <w:spacing w:val="6"/>
          <w:kern w:val="0"/>
          <w:sz w:val="28"/>
          <w:szCs w:val="28"/>
        </w:rPr>
        <w:t>产出缺口扩大推高失业率，进一步削弱偿债能力；市场恐慌→流动性枯竭</w:t>
      </w:r>
      <w:r>
        <w:rPr>
          <w:rFonts w:ascii="仿宋" w:eastAsia="仿宋" w:hAnsi="仿宋" w:cs="仿宋" w:hint="eastAsia"/>
          <w:bCs/>
          <w:snapToGrid w:val="0"/>
          <w:color w:val="000000" w:themeColor="text1"/>
          <w:spacing w:val="6"/>
          <w:kern w:val="0"/>
          <w:sz w:val="28"/>
          <w:szCs w:val="28"/>
        </w:rPr>
        <w:t>，</w:t>
      </w:r>
      <w:r>
        <w:rPr>
          <w:rFonts w:ascii="仿宋" w:eastAsia="仿宋" w:hAnsi="仿宋" w:cs="仿宋"/>
          <w:bCs/>
          <w:snapToGrid w:val="0"/>
          <w:color w:val="000000" w:themeColor="text1"/>
          <w:spacing w:val="6"/>
          <w:kern w:val="0"/>
          <w:sz w:val="28"/>
          <w:szCs w:val="28"/>
        </w:rPr>
        <w:t>资产价格下跌引发抛售潮，加剧系统性风险传导。IMF警告，若无政策干预，2050年全球气候相关金融损失或达GDP的25%。</w:t>
      </w:r>
    </w:p>
    <w:p w:rsidR="00D00D0B" w:rsidRDefault="00D00D0B">
      <w:pPr>
        <w:pStyle w:val="2"/>
        <w:tabs>
          <w:tab w:val="right" w:leader="dot" w:pos="9897"/>
        </w:tabs>
        <w:adjustRightInd w:val="0"/>
        <w:snapToGrid w:val="0"/>
        <w:spacing w:line="360" w:lineRule="auto"/>
        <w:ind w:left="0"/>
        <w:jc w:val="center"/>
        <w:rPr>
          <w:rFonts w:ascii="黑体" w:eastAsia="黑体" w:hAnsi="黑体" w:cs="黑体"/>
          <w:bCs/>
          <w:color w:val="000000" w:themeColor="text1"/>
          <w:kern w:val="2"/>
          <w:sz w:val="32"/>
          <w:szCs w:val="32"/>
        </w:rPr>
      </w:pPr>
    </w:p>
    <w:p w:rsidR="00D00D0B" w:rsidRDefault="00FD0360">
      <w:pPr>
        <w:pStyle w:val="1"/>
      </w:pPr>
      <w:bookmarkStart w:id="10" w:name="_Toc19339"/>
      <w:r>
        <w:rPr>
          <w:rFonts w:hint="eastAsia"/>
        </w:rPr>
        <w:t>第三章 气候风险评估方法</w:t>
      </w:r>
      <w:bookmarkEnd w:id="10"/>
    </w:p>
    <w:p w:rsidR="00D00D0B" w:rsidRDefault="00FD0360" w:rsidP="00DB75FB">
      <w:pPr>
        <w:pStyle w:val="20"/>
        <w:spacing w:before="156" w:after="62"/>
      </w:pPr>
      <w:bookmarkStart w:id="11" w:name="_Toc7230"/>
      <w:r>
        <w:rPr>
          <w:rFonts w:hint="eastAsia"/>
        </w:rPr>
        <w:t>3.1 物理风险评估过程</w:t>
      </w:r>
      <w:bookmarkEnd w:id="11"/>
    </w:p>
    <w:p w:rsidR="00D00D0B" w:rsidRDefault="00FD0360" w:rsidP="00DB75FB">
      <w:pPr>
        <w:pStyle w:val="3"/>
        <w:spacing w:before="156" w:after="62"/>
      </w:pPr>
      <w:r>
        <w:rPr>
          <w:rFonts w:hint="eastAsia"/>
        </w:rPr>
        <w:t>3.1.1 行业选择</w:t>
      </w:r>
    </w:p>
    <w:p w:rsidR="00D00D0B" w:rsidRDefault="00FD0360">
      <w:pPr>
        <w:widowControl/>
        <w:kinsoku w:val="0"/>
        <w:autoSpaceDE w:val="0"/>
        <w:autoSpaceDN w:val="0"/>
        <w:adjustRightInd w:val="0"/>
        <w:snapToGrid w:val="0"/>
        <w:spacing w:line="240" w:lineRule="auto"/>
        <w:ind w:firstLine="584"/>
        <w:textAlignment w:val="baseline"/>
        <w:rPr>
          <w:rFonts w:ascii="仿宋" w:eastAsia="仿宋" w:hAnsi="仿宋" w:cs="仿宋"/>
          <w:bCs/>
          <w:snapToGrid w:val="0"/>
          <w:color w:val="000000" w:themeColor="text1"/>
          <w:spacing w:val="6"/>
          <w:kern w:val="0"/>
          <w:sz w:val="28"/>
          <w:szCs w:val="28"/>
        </w:rPr>
      </w:pPr>
      <w:r>
        <w:rPr>
          <w:rFonts w:ascii="仿宋" w:eastAsia="仿宋" w:hAnsi="仿宋" w:cs="仿宋" w:hint="eastAsia"/>
          <w:bCs/>
          <w:snapToGrid w:val="0"/>
          <w:color w:val="000000" w:themeColor="text1"/>
          <w:spacing w:val="6"/>
          <w:kern w:val="0"/>
          <w:sz w:val="28"/>
          <w:szCs w:val="28"/>
        </w:rPr>
        <w:t>物理风险重点对贷款金额较大或贷款集中度较高的气候敏感型企业（如农业、渔业）的气候风险进行量化评估，并测试极端情况下对金融机构资本充足性和业务稳健性的影响，提高识别和抵御气候风险的能力。</w:t>
      </w:r>
    </w:p>
    <w:p w:rsidR="00D00D0B" w:rsidRDefault="00FD0360" w:rsidP="00DB75FB">
      <w:pPr>
        <w:pStyle w:val="3"/>
        <w:spacing w:before="156" w:after="62"/>
      </w:pPr>
      <w:r>
        <w:rPr>
          <w:rFonts w:hint="eastAsia"/>
        </w:rPr>
        <w:t>3.1.2 评估方法</w:t>
      </w:r>
    </w:p>
    <w:p w:rsidR="00D00D0B" w:rsidRDefault="00FD0360">
      <w:pPr>
        <w:widowControl/>
        <w:kinsoku w:val="0"/>
        <w:autoSpaceDE w:val="0"/>
        <w:autoSpaceDN w:val="0"/>
        <w:adjustRightInd w:val="0"/>
        <w:snapToGrid w:val="0"/>
        <w:spacing w:line="240" w:lineRule="auto"/>
        <w:ind w:firstLine="584"/>
        <w:textAlignment w:val="baseline"/>
        <w:rPr>
          <w:rFonts w:ascii="仿宋" w:eastAsia="仿宋" w:hAnsi="仿宋" w:cs="仿宋"/>
          <w:bCs/>
          <w:snapToGrid w:val="0"/>
          <w:color w:val="000000" w:themeColor="text1"/>
          <w:spacing w:val="6"/>
          <w:kern w:val="0"/>
          <w:sz w:val="28"/>
          <w:szCs w:val="28"/>
        </w:rPr>
      </w:pPr>
      <w:proofErr w:type="gramStart"/>
      <w:r>
        <w:rPr>
          <w:rFonts w:ascii="仿宋" w:eastAsia="仿宋" w:hAnsi="仿宋" w:cs="仿宋" w:hint="eastAsia"/>
          <w:bCs/>
          <w:snapToGrid w:val="0"/>
          <w:color w:val="000000" w:themeColor="text1"/>
          <w:spacing w:val="6"/>
          <w:kern w:val="0"/>
          <w:sz w:val="28"/>
          <w:szCs w:val="28"/>
        </w:rPr>
        <w:t>以南信</w:t>
      </w:r>
      <w:proofErr w:type="gramEnd"/>
      <w:r>
        <w:rPr>
          <w:rFonts w:ascii="仿宋" w:eastAsia="仿宋" w:hAnsi="仿宋" w:cs="仿宋" w:hint="eastAsia"/>
          <w:bCs/>
          <w:snapToGrid w:val="0"/>
          <w:color w:val="000000" w:themeColor="text1"/>
          <w:spacing w:val="6"/>
          <w:kern w:val="0"/>
          <w:sz w:val="28"/>
          <w:szCs w:val="28"/>
        </w:rPr>
        <w:t>大气候预测系统（NUIST-CFS1.0）为基础，逐月持续滚动预测的极端天气。在100km×100km、30km×30km、10km×10km网格精度水平上有效预测未来二十四个月气候风险（热浪、寒潮、台风、干旱、洪水），基于气候预测数据和资产地理位置评估气候敏感型资产的物理风险暴露水平，及其对银行贷款资产或业务活动的影响程度。</w:t>
      </w:r>
    </w:p>
    <w:p w:rsidR="00D00D0B" w:rsidRDefault="00FD0360" w:rsidP="00DB75FB">
      <w:pPr>
        <w:pStyle w:val="3"/>
        <w:spacing w:before="156" w:after="62"/>
      </w:pPr>
      <w:r>
        <w:rPr>
          <w:rFonts w:hint="eastAsia"/>
        </w:rPr>
        <w:t>3.1.3 气候预测</w:t>
      </w:r>
    </w:p>
    <w:p w:rsidR="00D00D0B" w:rsidRDefault="00FD0360" w:rsidP="00CC58E9">
      <w:pPr>
        <w:widowControl/>
        <w:kinsoku w:val="0"/>
        <w:autoSpaceDE w:val="0"/>
        <w:autoSpaceDN w:val="0"/>
        <w:adjustRightInd w:val="0"/>
        <w:snapToGrid w:val="0"/>
        <w:spacing w:beforeLines="50" w:afterLines="50" w:line="240" w:lineRule="auto"/>
        <w:ind w:firstLine="584"/>
        <w:textAlignment w:val="baseline"/>
        <w:rPr>
          <w:rFonts w:ascii="黑体" w:eastAsia="黑体" w:hAnsi="黑体" w:cs="黑体"/>
          <w:bCs/>
          <w:snapToGrid w:val="0"/>
          <w:color w:val="000000" w:themeColor="text1"/>
          <w:spacing w:val="6"/>
          <w:kern w:val="0"/>
          <w:sz w:val="28"/>
          <w:szCs w:val="28"/>
        </w:rPr>
      </w:pPr>
      <w:r>
        <w:rPr>
          <w:rFonts w:ascii="黑体" w:eastAsia="黑体" w:hAnsi="黑体" w:cs="黑体" w:hint="eastAsia"/>
          <w:bCs/>
          <w:snapToGrid w:val="0"/>
          <w:color w:val="000000" w:themeColor="text1"/>
          <w:spacing w:val="6"/>
          <w:kern w:val="0"/>
          <w:sz w:val="28"/>
          <w:szCs w:val="28"/>
        </w:rPr>
        <w:t>1）江苏省2025年夏季热浪预测结果</w:t>
      </w:r>
    </w:p>
    <w:p w:rsidR="00D00D0B" w:rsidRDefault="00FD0360">
      <w:pPr>
        <w:widowControl/>
        <w:kinsoku w:val="0"/>
        <w:autoSpaceDE w:val="0"/>
        <w:autoSpaceDN w:val="0"/>
        <w:adjustRightInd w:val="0"/>
        <w:snapToGrid w:val="0"/>
        <w:spacing w:line="240" w:lineRule="auto"/>
        <w:ind w:firstLine="584"/>
        <w:textAlignment w:val="baseline"/>
        <w:rPr>
          <w:rFonts w:ascii="仿宋" w:eastAsia="仿宋" w:hAnsi="仿宋" w:cs="仿宋"/>
          <w:bCs/>
          <w:snapToGrid w:val="0"/>
          <w:color w:val="000000" w:themeColor="text1"/>
          <w:spacing w:val="6"/>
          <w:kern w:val="0"/>
          <w:sz w:val="28"/>
          <w:szCs w:val="28"/>
        </w:rPr>
      </w:pPr>
      <w:r>
        <w:rPr>
          <w:rFonts w:ascii="仿宋" w:eastAsia="仿宋" w:hAnsi="仿宋" w:cs="仿宋" w:hint="eastAsia"/>
          <w:bCs/>
          <w:snapToGrid w:val="0"/>
          <w:color w:val="000000" w:themeColor="text1"/>
          <w:spacing w:val="6"/>
          <w:kern w:val="0"/>
          <w:sz w:val="28"/>
          <w:szCs w:val="28"/>
        </w:rPr>
        <w:t>根据最新预测，预计2025年夏季江苏省东部沿海地区的盐城市与南通市相较省内其他地区热浪发生天数较多，且主要集中在7、8月份。6月全省热浪天数约为2-4天；7月全省热浪天数相对较多，多数地区在6天以上，其中盐城市射阳、大丰，南通市通州、海门、启东等地最多可达9-12天；8月全省大部分地区热浪天数在4天以内，盐城市射阳、大丰地区最多可到8天（图1）。</w:t>
      </w:r>
    </w:p>
    <w:p w:rsidR="00D00D0B" w:rsidRDefault="00FD0360">
      <w:pPr>
        <w:widowControl/>
        <w:kinsoku w:val="0"/>
        <w:autoSpaceDE w:val="0"/>
        <w:autoSpaceDN w:val="0"/>
        <w:adjustRightInd w:val="0"/>
        <w:snapToGrid w:val="0"/>
        <w:spacing w:line="240" w:lineRule="auto"/>
        <w:ind w:firstLineChars="0" w:firstLine="0"/>
        <w:jc w:val="center"/>
        <w:textAlignment w:val="baseline"/>
        <w:rPr>
          <w:bCs/>
          <w:color w:val="000000" w:themeColor="text1"/>
        </w:rPr>
      </w:pPr>
      <w:r>
        <w:rPr>
          <w:bCs/>
          <w:noProof/>
          <w:color w:val="000000" w:themeColor="text1"/>
        </w:rPr>
        <w:lastRenderedPageBreak/>
        <w:drawing>
          <wp:inline distT="0" distB="0" distL="0" distR="0">
            <wp:extent cx="5274310" cy="1612265"/>
            <wp:effectExtent l="0" t="0" r="8890" b="13335"/>
            <wp:docPr id="55849953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8499536" name="图片 1"/>
                    <pic:cNvPicPr>
                      <a:picLocks noChangeAspect="1" noChangeArrowheads="1"/>
                    </pic:cNvPicPr>
                  </pic:nvPicPr>
                  <pic:blipFill>
                    <a:blip r:embed="rId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ps="http://schemas.microsoft.com/office/word/2010/wordprocessingShape" xmlns:wpsCustomData="http://www.wps.cn/officeDocument/2013/wpsCustomData" xmlns:a14="http://schemas.microsoft.com/office/drawing/2010/main" val="0"/>
                        </a:ext>
                      </a:extLst>
                    </a:blip>
                    <a:srcRect/>
                    <a:stretch>
                      <a:fillRect/>
                    </a:stretch>
                  </pic:blipFill>
                  <pic:spPr>
                    <a:xfrm>
                      <a:off x="0" y="0"/>
                      <a:ext cx="5274310" cy="1612265"/>
                    </a:xfrm>
                    <a:prstGeom prst="rect">
                      <a:avLst/>
                    </a:prstGeom>
                    <a:noFill/>
                    <a:ln>
                      <a:noFill/>
                    </a:ln>
                  </pic:spPr>
                </pic:pic>
              </a:graphicData>
            </a:graphic>
          </wp:inline>
        </w:drawing>
      </w:r>
    </w:p>
    <w:p w:rsidR="00D00D0B" w:rsidRDefault="00FD0360" w:rsidP="00DB75FB">
      <w:pPr>
        <w:pStyle w:val="a6"/>
        <w:ind w:firstLine="400"/>
        <w:jc w:val="center"/>
        <w:rPr>
          <w:rFonts w:ascii="仿宋" w:eastAsia="仿宋" w:hAnsi="仿宋" w:cs="仿宋"/>
          <w:bCs/>
          <w:color w:val="0070C0"/>
        </w:rPr>
      </w:pPr>
      <w:r>
        <w:rPr>
          <w:rFonts w:ascii="仿宋" w:eastAsia="仿宋" w:hAnsi="仿宋" w:cs="仿宋" w:hint="eastAsia"/>
          <w:bCs/>
          <w:color w:val="0070C0"/>
        </w:rPr>
        <w:t>图</w:t>
      </w:r>
      <w:r w:rsidR="004C77AE">
        <w:rPr>
          <w:rFonts w:ascii="仿宋" w:eastAsia="仿宋" w:hAnsi="仿宋" w:cs="仿宋" w:hint="eastAsia"/>
          <w:bCs/>
          <w:color w:val="0070C0"/>
        </w:rPr>
        <w:fldChar w:fldCharType="begin"/>
      </w:r>
      <w:r>
        <w:rPr>
          <w:rFonts w:ascii="仿宋" w:eastAsia="仿宋" w:hAnsi="仿宋" w:cs="仿宋" w:hint="eastAsia"/>
          <w:bCs/>
          <w:color w:val="0070C0"/>
        </w:rPr>
        <w:instrText xml:space="preserve"> SEQ 图 \* ARABIC </w:instrText>
      </w:r>
      <w:r w:rsidR="004C77AE">
        <w:rPr>
          <w:rFonts w:ascii="仿宋" w:eastAsia="仿宋" w:hAnsi="仿宋" w:cs="仿宋" w:hint="eastAsia"/>
          <w:bCs/>
          <w:color w:val="0070C0"/>
        </w:rPr>
        <w:fldChar w:fldCharType="separate"/>
      </w:r>
      <w:r>
        <w:rPr>
          <w:rFonts w:ascii="仿宋" w:eastAsia="仿宋" w:hAnsi="仿宋" w:cs="仿宋" w:hint="eastAsia"/>
          <w:bCs/>
          <w:color w:val="0070C0"/>
        </w:rPr>
        <w:t>1</w:t>
      </w:r>
      <w:r w:rsidR="004C77AE">
        <w:rPr>
          <w:rFonts w:ascii="仿宋" w:eastAsia="仿宋" w:hAnsi="仿宋" w:cs="仿宋" w:hint="eastAsia"/>
          <w:bCs/>
          <w:color w:val="0070C0"/>
        </w:rPr>
        <w:fldChar w:fldCharType="end"/>
      </w:r>
      <w:r>
        <w:rPr>
          <w:rFonts w:ascii="仿宋" w:eastAsia="仿宋" w:hAnsi="仿宋" w:cs="仿宋" w:hint="eastAsia"/>
          <w:bCs/>
          <w:color w:val="0070C0"/>
        </w:rPr>
        <w:t xml:space="preserve"> 2025年3月1日起报的2025年夏季（JJA）逐月极端高温（热浪）发生天数预测</w:t>
      </w:r>
    </w:p>
    <w:p w:rsidR="00D00D0B" w:rsidRDefault="00D00D0B">
      <w:pPr>
        <w:widowControl/>
        <w:kinsoku w:val="0"/>
        <w:autoSpaceDE w:val="0"/>
        <w:autoSpaceDN w:val="0"/>
        <w:adjustRightInd w:val="0"/>
        <w:snapToGrid w:val="0"/>
        <w:spacing w:line="240" w:lineRule="auto"/>
        <w:ind w:firstLine="584"/>
        <w:textAlignment w:val="baseline"/>
        <w:rPr>
          <w:rFonts w:ascii="仿宋" w:eastAsia="仿宋" w:hAnsi="仿宋" w:cs="仿宋"/>
          <w:bCs/>
          <w:snapToGrid w:val="0"/>
          <w:color w:val="000000" w:themeColor="text1"/>
          <w:spacing w:val="6"/>
          <w:kern w:val="0"/>
          <w:sz w:val="28"/>
          <w:szCs w:val="28"/>
        </w:rPr>
      </w:pPr>
    </w:p>
    <w:p w:rsidR="00D00D0B" w:rsidRDefault="00FD0360">
      <w:pPr>
        <w:widowControl/>
        <w:kinsoku w:val="0"/>
        <w:autoSpaceDE w:val="0"/>
        <w:autoSpaceDN w:val="0"/>
        <w:adjustRightInd w:val="0"/>
        <w:snapToGrid w:val="0"/>
        <w:spacing w:line="240" w:lineRule="auto"/>
        <w:ind w:firstLine="584"/>
        <w:textAlignment w:val="baseline"/>
        <w:rPr>
          <w:rFonts w:ascii="仿宋" w:eastAsia="仿宋" w:hAnsi="仿宋" w:cs="仿宋"/>
          <w:bCs/>
          <w:snapToGrid w:val="0"/>
          <w:color w:val="000000" w:themeColor="text1"/>
          <w:spacing w:val="6"/>
          <w:kern w:val="0"/>
          <w:sz w:val="28"/>
          <w:szCs w:val="28"/>
        </w:rPr>
      </w:pPr>
      <w:r>
        <w:rPr>
          <w:rFonts w:ascii="仿宋" w:eastAsia="仿宋" w:hAnsi="仿宋" w:cs="仿宋" w:hint="eastAsia"/>
          <w:bCs/>
          <w:snapToGrid w:val="0"/>
          <w:color w:val="000000" w:themeColor="text1"/>
          <w:spacing w:val="6"/>
          <w:kern w:val="0"/>
          <w:sz w:val="28"/>
          <w:szCs w:val="28"/>
        </w:rPr>
        <w:t>东部沿海地区虽然热浪天数相对较多，但是比往年平均差距不大，整体上江苏全省各地夏季热浪天数比往年多，其中7月在南通市如皋偏多最明显，约偏多4天（图2）。</w:t>
      </w:r>
    </w:p>
    <w:p w:rsidR="00D00D0B" w:rsidRDefault="00FD0360">
      <w:pPr>
        <w:widowControl/>
        <w:kinsoku w:val="0"/>
        <w:autoSpaceDE w:val="0"/>
        <w:autoSpaceDN w:val="0"/>
        <w:adjustRightInd w:val="0"/>
        <w:snapToGrid w:val="0"/>
        <w:spacing w:line="240" w:lineRule="auto"/>
        <w:ind w:firstLineChars="0" w:firstLine="0"/>
        <w:jc w:val="center"/>
        <w:textAlignment w:val="baseline"/>
        <w:rPr>
          <w:bCs/>
          <w:color w:val="000000" w:themeColor="text1"/>
        </w:rPr>
      </w:pPr>
      <w:r>
        <w:rPr>
          <w:rFonts w:hint="eastAsia"/>
          <w:bCs/>
          <w:noProof/>
          <w:color w:val="000000" w:themeColor="text1"/>
        </w:rPr>
        <w:drawing>
          <wp:inline distT="0" distB="0" distL="0" distR="0">
            <wp:extent cx="5315585" cy="1637665"/>
            <wp:effectExtent l="0" t="0" r="18415" b="13335"/>
            <wp:docPr id="175392756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3927568" name="图片 1"/>
                    <pic:cNvPicPr>
                      <a:picLocks noChangeAspect="1" noChangeArrowheads="1"/>
                    </pic:cNvPicPr>
                  </pic:nvPicPr>
                  <pic:blipFill>
                    <a:blip r:embed="rId2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ps="http://schemas.microsoft.com/office/word/2010/wordprocessingShape" xmlns:wpsCustomData="http://www.wps.cn/officeDocument/2013/wpsCustomData" xmlns:a14="http://schemas.microsoft.com/office/drawing/2010/main" val="0"/>
                        </a:ext>
                      </a:extLst>
                    </a:blip>
                    <a:srcRect/>
                    <a:stretch>
                      <a:fillRect/>
                    </a:stretch>
                  </pic:blipFill>
                  <pic:spPr>
                    <a:xfrm>
                      <a:off x="0" y="0"/>
                      <a:ext cx="5345007" cy="1647075"/>
                    </a:xfrm>
                    <a:prstGeom prst="rect">
                      <a:avLst/>
                    </a:prstGeom>
                    <a:noFill/>
                  </pic:spPr>
                </pic:pic>
              </a:graphicData>
            </a:graphic>
          </wp:inline>
        </w:drawing>
      </w:r>
    </w:p>
    <w:p w:rsidR="00D00D0B" w:rsidRDefault="00FD0360" w:rsidP="00DB75FB">
      <w:pPr>
        <w:pStyle w:val="a6"/>
        <w:ind w:firstLine="400"/>
        <w:jc w:val="center"/>
        <w:rPr>
          <w:rFonts w:ascii="仿宋" w:eastAsia="仿宋" w:hAnsi="仿宋" w:cs="仿宋"/>
          <w:bCs/>
          <w:color w:val="0070C0"/>
        </w:rPr>
      </w:pPr>
      <w:r>
        <w:rPr>
          <w:rFonts w:ascii="仿宋" w:eastAsia="仿宋" w:hAnsi="仿宋" w:cs="仿宋" w:hint="eastAsia"/>
          <w:bCs/>
          <w:color w:val="0070C0"/>
        </w:rPr>
        <w:t>图</w:t>
      </w:r>
      <w:r w:rsidR="004C77AE">
        <w:rPr>
          <w:rFonts w:ascii="仿宋" w:eastAsia="仿宋" w:hAnsi="仿宋" w:cs="仿宋" w:hint="eastAsia"/>
          <w:bCs/>
          <w:color w:val="0070C0"/>
        </w:rPr>
        <w:fldChar w:fldCharType="begin"/>
      </w:r>
      <w:r>
        <w:rPr>
          <w:rFonts w:ascii="仿宋" w:eastAsia="仿宋" w:hAnsi="仿宋" w:cs="仿宋" w:hint="eastAsia"/>
          <w:bCs/>
          <w:color w:val="0070C0"/>
        </w:rPr>
        <w:instrText xml:space="preserve"> SEQ 图 \* ARABIC </w:instrText>
      </w:r>
      <w:r w:rsidR="004C77AE">
        <w:rPr>
          <w:rFonts w:ascii="仿宋" w:eastAsia="仿宋" w:hAnsi="仿宋" w:cs="仿宋" w:hint="eastAsia"/>
          <w:bCs/>
          <w:color w:val="0070C0"/>
        </w:rPr>
        <w:fldChar w:fldCharType="separate"/>
      </w:r>
      <w:r>
        <w:rPr>
          <w:rFonts w:ascii="仿宋" w:eastAsia="仿宋" w:hAnsi="仿宋" w:cs="仿宋" w:hint="eastAsia"/>
          <w:bCs/>
          <w:color w:val="0070C0"/>
        </w:rPr>
        <w:t>2</w:t>
      </w:r>
      <w:r w:rsidR="004C77AE">
        <w:rPr>
          <w:rFonts w:ascii="仿宋" w:eastAsia="仿宋" w:hAnsi="仿宋" w:cs="仿宋" w:hint="eastAsia"/>
          <w:bCs/>
          <w:color w:val="0070C0"/>
        </w:rPr>
        <w:fldChar w:fldCharType="end"/>
      </w:r>
      <w:r>
        <w:rPr>
          <w:rFonts w:ascii="仿宋" w:eastAsia="仿宋" w:hAnsi="仿宋" w:cs="仿宋" w:hint="eastAsia"/>
          <w:bCs/>
          <w:color w:val="0070C0"/>
        </w:rPr>
        <w:t xml:space="preserve"> 2025年3月起报的夏季（JJA）极端高温（热浪）发生天数相比往年平均的差值</w:t>
      </w:r>
    </w:p>
    <w:p w:rsidR="00D00D0B" w:rsidRDefault="00FD0360">
      <w:pPr>
        <w:widowControl/>
        <w:kinsoku w:val="0"/>
        <w:autoSpaceDE w:val="0"/>
        <w:autoSpaceDN w:val="0"/>
        <w:adjustRightInd w:val="0"/>
        <w:snapToGrid w:val="0"/>
        <w:spacing w:line="240" w:lineRule="auto"/>
        <w:ind w:firstLine="584"/>
        <w:textAlignment w:val="baseline"/>
        <w:rPr>
          <w:rFonts w:ascii="仿宋" w:eastAsia="仿宋" w:hAnsi="仿宋" w:cs="仿宋"/>
          <w:bCs/>
          <w:snapToGrid w:val="0"/>
          <w:color w:val="000000" w:themeColor="text1"/>
          <w:spacing w:val="6"/>
          <w:kern w:val="0"/>
          <w:sz w:val="28"/>
          <w:szCs w:val="28"/>
        </w:rPr>
      </w:pPr>
      <w:r>
        <w:rPr>
          <w:rFonts w:ascii="仿宋" w:eastAsia="仿宋" w:hAnsi="仿宋" w:cs="仿宋" w:hint="eastAsia"/>
          <w:bCs/>
          <w:snapToGrid w:val="0"/>
          <w:color w:val="000000" w:themeColor="text1"/>
          <w:spacing w:val="6"/>
          <w:kern w:val="0"/>
          <w:sz w:val="28"/>
          <w:szCs w:val="28"/>
        </w:rPr>
        <w:t>热浪的强度上，江苏西部地区明显强于东部，其中6月份徐州市沛县、丰县等地热浪发生时日最高气温可能达到40℃以上，7月除沿海地区以外，热浪发生时日最高气温均为37℃以上，南京市高淳、无锡市宜兴、常州市溧阳等地日最高气温普遍在39℃以上，在淮安市盱眙、泗洪地区最高气温可达41℃左右。8月份江苏与安徽接壤区域热浪发生时最高温度普遍在38℃以上，其中徐州市邳州、新沂、睢宁等地可能达到40℃以上（图3）。</w:t>
      </w:r>
    </w:p>
    <w:p w:rsidR="00D00D0B" w:rsidRDefault="00FD0360">
      <w:pPr>
        <w:widowControl/>
        <w:kinsoku w:val="0"/>
        <w:autoSpaceDE w:val="0"/>
        <w:autoSpaceDN w:val="0"/>
        <w:adjustRightInd w:val="0"/>
        <w:snapToGrid w:val="0"/>
        <w:spacing w:line="240" w:lineRule="auto"/>
        <w:ind w:firstLineChars="0" w:firstLine="0"/>
        <w:jc w:val="center"/>
        <w:textAlignment w:val="baseline"/>
        <w:rPr>
          <w:bCs/>
          <w:color w:val="000000" w:themeColor="text1"/>
        </w:rPr>
      </w:pPr>
      <w:r>
        <w:rPr>
          <w:bCs/>
          <w:noProof/>
          <w:color w:val="000000" w:themeColor="text1"/>
        </w:rPr>
        <w:drawing>
          <wp:inline distT="0" distB="0" distL="0" distR="0">
            <wp:extent cx="5274310" cy="1610995"/>
            <wp:effectExtent l="0" t="0" r="8890" b="14605"/>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2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ps="http://schemas.microsoft.com/office/word/2010/wordprocessingShape" xmlns:wpsCustomData="http://www.wps.cn/officeDocument/2013/wpsCustomData" xmlns:a14="http://schemas.microsoft.com/office/drawing/2010/main" val="0"/>
                        </a:ext>
                      </a:extLst>
                    </a:blip>
                    <a:stretch>
                      <a:fillRect/>
                    </a:stretch>
                  </pic:blipFill>
                  <pic:spPr>
                    <a:xfrm>
                      <a:off x="0" y="0"/>
                      <a:ext cx="5274310" cy="1610995"/>
                    </a:xfrm>
                    <a:prstGeom prst="rect">
                      <a:avLst/>
                    </a:prstGeom>
                  </pic:spPr>
                </pic:pic>
              </a:graphicData>
            </a:graphic>
          </wp:inline>
        </w:drawing>
      </w:r>
    </w:p>
    <w:p w:rsidR="00D00D0B" w:rsidRDefault="00FD0360" w:rsidP="00DB75FB">
      <w:pPr>
        <w:pStyle w:val="a6"/>
        <w:ind w:firstLine="400"/>
        <w:jc w:val="center"/>
        <w:rPr>
          <w:rFonts w:ascii="仿宋" w:eastAsia="仿宋" w:hAnsi="仿宋" w:cs="仿宋"/>
          <w:bCs/>
          <w:color w:val="0070C0"/>
        </w:rPr>
      </w:pPr>
      <w:r>
        <w:rPr>
          <w:rFonts w:ascii="仿宋" w:eastAsia="仿宋" w:hAnsi="仿宋" w:cs="仿宋" w:hint="eastAsia"/>
          <w:bCs/>
          <w:color w:val="0070C0"/>
        </w:rPr>
        <w:t>图</w:t>
      </w:r>
      <w:r w:rsidR="004C77AE">
        <w:rPr>
          <w:rFonts w:ascii="仿宋" w:eastAsia="仿宋" w:hAnsi="仿宋" w:cs="仿宋" w:hint="eastAsia"/>
          <w:bCs/>
          <w:color w:val="0070C0"/>
        </w:rPr>
        <w:fldChar w:fldCharType="begin"/>
      </w:r>
      <w:r>
        <w:rPr>
          <w:rFonts w:ascii="仿宋" w:eastAsia="仿宋" w:hAnsi="仿宋" w:cs="仿宋" w:hint="eastAsia"/>
          <w:bCs/>
          <w:color w:val="0070C0"/>
        </w:rPr>
        <w:instrText xml:space="preserve"> SEQ 图 \* ARABIC </w:instrText>
      </w:r>
      <w:r w:rsidR="004C77AE">
        <w:rPr>
          <w:rFonts w:ascii="仿宋" w:eastAsia="仿宋" w:hAnsi="仿宋" w:cs="仿宋" w:hint="eastAsia"/>
          <w:bCs/>
          <w:color w:val="0070C0"/>
        </w:rPr>
        <w:fldChar w:fldCharType="separate"/>
      </w:r>
      <w:r>
        <w:rPr>
          <w:rFonts w:ascii="仿宋" w:eastAsia="仿宋" w:hAnsi="仿宋" w:cs="仿宋" w:hint="eastAsia"/>
          <w:bCs/>
          <w:color w:val="0070C0"/>
        </w:rPr>
        <w:t>3</w:t>
      </w:r>
      <w:r w:rsidR="004C77AE">
        <w:rPr>
          <w:rFonts w:ascii="仿宋" w:eastAsia="仿宋" w:hAnsi="仿宋" w:cs="仿宋" w:hint="eastAsia"/>
          <w:bCs/>
          <w:color w:val="0070C0"/>
        </w:rPr>
        <w:fldChar w:fldCharType="end"/>
      </w:r>
      <w:r>
        <w:rPr>
          <w:rFonts w:ascii="仿宋" w:eastAsia="仿宋" w:hAnsi="仿宋" w:cs="仿宋" w:hint="eastAsia"/>
          <w:bCs/>
          <w:color w:val="0070C0"/>
        </w:rPr>
        <w:t xml:space="preserve"> 2025年3月起报的夏季（JJA）热浪所在天最高气温范围预测</w:t>
      </w:r>
    </w:p>
    <w:p w:rsidR="00D00D0B" w:rsidRDefault="00FD0360" w:rsidP="00CC58E9">
      <w:pPr>
        <w:widowControl/>
        <w:kinsoku w:val="0"/>
        <w:autoSpaceDE w:val="0"/>
        <w:autoSpaceDN w:val="0"/>
        <w:adjustRightInd w:val="0"/>
        <w:snapToGrid w:val="0"/>
        <w:spacing w:beforeLines="50" w:afterLines="50" w:line="240" w:lineRule="auto"/>
        <w:ind w:firstLine="584"/>
        <w:textAlignment w:val="baseline"/>
        <w:rPr>
          <w:rFonts w:ascii="黑体" w:eastAsia="黑体" w:hAnsi="黑体" w:cs="黑体"/>
          <w:bCs/>
          <w:snapToGrid w:val="0"/>
          <w:color w:val="000000" w:themeColor="text1"/>
          <w:spacing w:val="6"/>
          <w:kern w:val="0"/>
          <w:sz w:val="28"/>
          <w:szCs w:val="28"/>
        </w:rPr>
      </w:pPr>
      <w:r>
        <w:rPr>
          <w:rFonts w:ascii="黑体" w:eastAsia="黑体" w:hAnsi="黑体" w:cs="黑体" w:hint="eastAsia"/>
          <w:bCs/>
          <w:snapToGrid w:val="0"/>
          <w:color w:val="000000" w:themeColor="text1"/>
          <w:spacing w:val="6"/>
          <w:kern w:val="0"/>
          <w:sz w:val="28"/>
          <w:szCs w:val="28"/>
        </w:rPr>
        <w:t>2）江苏省2025至2026年冬季寒潮的预测结果</w:t>
      </w:r>
    </w:p>
    <w:p w:rsidR="00D00D0B" w:rsidRDefault="00FD0360">
      <w:pPr>
        <w:widowControl/>
        <w:kinsoku w:val="0"/>
        <w:autoSpaceDE w:val="0"/>
        <w:autoSpaceDN w:val="0"/>
        <w:adjustRightInd w:val="0"/>
        <w:snapToGrid w:val="0"/>
        <w:spacing w:line="240" w:lineRule="auto"/>
        <w:ind w:firstLine="584"/>
        <w:textAlignment w:val="baseline"/>
        <w:rPr>
          <w:rFonts w:ascii="仿宋" w:eastAsia="仿宋" w:hAnsi="仿宋" w:cs="仿宋"/>
          <w:bCs/>
          <w:snapToGrid w:val="0"/>
          <w:color w:val="000000" w:themeColor="text1"/>
          <w:spacing w:val="6"/>
          <w:kern w:val="0"/>
          <w:sz w:val="28"/>
          <w:szCs w:val="28"/>
        </w:rPr>
      </w:pPr>
      <w:r>
        <w:rPr>
          <w:rFonts w:ascii="仿宋" w:eastAsia="仿宋" w:hAnsi="仿宋" w:cs="仿宋" w:hint="eastAsia"/>
          <w:bCs/>
          <w:snapToGrid w:val="0"/>
          <w:color w:val="000000" w:themeColor="text1"/>
          <w:spacing w:val="6"/>
          <w:kern w:val="0"/>
          <w:sz w:val="28"/>
          <w:szCs w:val="28"/>
        </w:rPr>
        <w:t>根据最新预测，预计2026年上半年冬季寒潮发生天数主要集中在2月份。2025年12月与2026年1月全省的寒潮天数均在2天以内；2026年2月寒潮主要</w:t>
      </w:r>
      <w:r>
        <w:rPr>
          <w:rFonts w:ascii="仿宋" w:eastAsia="仿宋" w:hAnsi="仿宋" w:cs="仿宋" w:hint="eastAsia"/>
          <w:bCs/>
          <w:snapToGrid w:val="0"/>
          <w:color w:val="000000" w:themeColor="text1"/>
          <w:spacing w:val="6"/>
          <w:kern w:val="0"/>
          <w:sz w:val="28"/>
          <w:szCs w:val="28"/>
        </w:rPr>
        <w:lastRenderedPageBreak/>
        <w:t>以苏中苏北地区发生较多，如连云港市东海，宿迁市沭阳，淮安市区、洪泽、涟水，扬州市宝应、高邮等地区有寒潮（图4）。</w:t>
      </w:r>
    </w:p>
    <w:p w:rsidR="00D00D0B" w:rsidRDefault="00FD0360">
      <w:pPr>
        <w:widowControl/>
        <w:kinsoku w:val="0"/>
        <w:autoSpaceDE w:val="0"/>
        <w:autoSpaceDN w:val="0"/>
        <w:adjustRightInd w:val="0"/>
        <w:snapToGrid w:val="0"/>
        <w:spacing w:line="240" w:lineRule="auto"/>
        <w:ind w:firstLineChars="0" w:firstLine="0"/>
        <w:jc w:val="center"/>
        <w:textAlignment w:val="baseline"/>
        <w:rPr>
          <w:bCs/>
          <w:color w:val="000000" w:themeColor="text1"/>
        </w:rPr>
      </w:pPr>
      <w:r>
        <w:rPr>
          <w:bCs/>
          <w:noProof/>
          <w:color w:val="000000" w:themeColor="text1"/>
        </w:rPr>
        <w:drawing>
          <wp:inline distT="0" distB="0" distL="0" distR="0">
            <wp:extent cx="5274310" cy="1627505"/>
            <wp:effectExtent l="0" t="0" r="8890" b="2349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24" cstate="print"/>
                    <a:stretch>
                      <a:fillRect/>
                    </a:stretch>
                  </pic:blipFill>
                  <pic:spPr>
                    <a:xfrm>
                      <a:off x="0" y="0"/>
                      <a:ext cx="5274310" cy="1627505"/>
                    </a:xfrm>
                    <a:prstGeom prst="rect">
                      <a:avLst/>
                    </a:prstGeom>
                  </pic:spPr>
                </pic:pic>
              </a:graphicData>
            </a:graphic>
          </wp:inline>
        </w:drawing>
      </w:r>
    </w:p>
    <w:p w:rsidR="00D00D0B" w:rsidRDefault="00FD0360" w:rsidP="00DB75FB">
      <w:pPr>
        <w:pStyle w:val="a6"/>
        <w:ind w:firstLine="400"/>
        <w:jc w:val="center"/>
        <w:rPr>
          <w:rFonts w:ascii="仿宋" w:eastAsia="仿宋" w:hAnsi="仿宋" w:cs="仿宋"/>
          <w:bCs/>
          <w:color w:val="0070C0"/>
        </w:rPr>
      </w:pPr>
      <w:r>
        <w:rPr>
          <w:rFonts w:ascii="仿宋" w:eastAsia="仿宋" w:hAnsi="仿宋" w:cs="仿宋" w:hint="eastAsia"/>
          <w:bCs/>
          <w:color w:val="0070C0"/>
        </w:rPr>
        <w:t>图</w:t>
      </w:r>
      <w:r w:rsidR="004C77AE">
        <w:rPr>
          <w:rFonts w:ascii="仿宋" w:eastAsia="仿宋" w:hAnsi="仿宋" w:cs="仿宋" w:hint="eastAsia"/>
          <w:bCs/>
          <w:color w:val="0070C0"/>
        </w:rPr>
        <w:fldChar w:fldCharType="begin"/>
      </w:r>
      <w:r>
        <w:rPr>
          <w:rFonts w:ascii="仿宋" w:eastAsia="仿宋" w:hAnsi="仿宋" w:cs="仿宋" w:hint="eastAsia"/>
          <w:bCs/>
          <w:color w:val="0070C0"/>
        </w:rPr>
        <w:instrText xml:space="preserve"> SEQ 图 \* ARABIC </w:instrText>
      </w:r>
      <w:r w:rsidR="004C77AE">
        <w:rPr>
          <w:rFonts w:ascii="仿宋" w:eastAsia="仿宋" w:hAnsi="仿宋" w:cs="仿宋" w:hint="eastAsia"/>
          <w:bCs/>
          <w:color w:val="0070C0"/>
        </w:rPr>
        <w:fldChar w:fldCharType="separate"/>
      </w:r>
      <w:r>
        <w:rPr>
          <w:rFonts w:ascii="仿宋" w:eastAsia="仿宋" w:hAnsi="仿宋" w:cs="仿宋" w:hint="eastAsia"/>
          <w:bCs/>
          <w:color w:val="0070C0"/>
        </w:rPr>
        <w:t>4</w:t>
      </w:r>
      <w:r w:rsidR="004C77AE">
        <w:rPr>
          <w:rFonts w:ascii="仿宋" w:eastAsia="仿宋" w:hAnsi="仿宋" w:cs="仿宋" w:hint="eastAsia"/>
          <w:bCs/>
          <w:color w:val="0070C0"/>
        </w:rPr>
        <w:fldChar w:fldCharType="end"/>
      </w:r>
      <w:r>
        <w:rPr>
          <w:rFonts w:ascii="仿宋" w:eastAsia="仿宋" w:hAnsi="仿宋" w:cs="仿宋" w:hint="eastAsia"/>
          <w:bCs/>
          <w:color w:val="0070C0"/>
        </w:rPr>
        <w:t xml:space="preserve"> 2025年3月1日起报的2025年冬季（DJF）极端低温（寒潮）发生天数预测</w:t>
      </w:r>
    </w:p>
    <w:p w:rsidR="00D00D0B" w:rsidRDefault="00FD0360">
      <w:pPr>
        <w:widowControl/>
        <w:kinsoku w:val="0"/>
        <w:autoSpaceDE w:val="0"/>
        <w:autoSpaceDN w:val="0"/>
        <w:adjustRightInd w:val="0"/>
        <w:snapToGrid w:val="0"/>
        <w:spacing w:line="240" w:lineRule="auto"/>
        <w:ind w:firstLine="584"/>
        <w:textAlignment w:val="baseline"/>
        <w:rPr>
          <w:rFonts w:ascii="仿宋" w:eastAsia="仿宋" w:hAnsi="仿宋" w:cs="仿宋"/>
          <w:bCs/>
          <w:snapToGrid w:val="0"/>
          <w:color w:val="000000" w:themeColor="text1"/>
          <w:spacing w:val="6"/>
          <w:kern w:val="0"/>
          <w:sz w:val="28"/>
          <w:szCs w:val="28"/>
        </w:rPr>
      </w:pPr>
      <w:r>
        <w:rPr>
          <w:rFonts w:ascii="仿宋" w:eastAsia="仿宋" w:hAnsi="仿宋" w:cs="仿宋" w:hint="eastAsia"/>
          <w:bCs/>
          <w:snapToGrid w:val="0"/>
          <w:color w:val="000000" w:themeColor="text1"/>
          <w:spacing w:val="6"/>
          <w:kern w:val="0"/>
          <w:sz w:val="28"/>
          <w:szCs w:val="28"/>
        </w:rPr>
        <w:t>2025年12月和2026年1月全省各地普遍比往年的寒潮天数偏少2天左右，2026年2月寒潮天数与往年总体持平（图5）。</w:t>
      </w:r>
    </w:p>
    <w:p w:rsidR="00D00D0B" w:rsidRDefault="00FD0360">
      <w:pPr>
        <w:widowControl/>
        <w:kinsoku w:val="0"/>
        <w:autoSpaceDE w:val="0"/>
        <w:autoSpaceDN w:val="0"/>
        <w:adjustRightInd w:val="0"/>
        <w:snapToGrid w:val="0"/>
        <w:spacing w:line="240" w:lineRule="auto"/>
        <w:ind w:firstLineChars="0" w:firstLine="0"/>
        <w:jc w:val="center"/>
        <w:textAlignment w:val="baseline"/>
        <w:rPr>
          <w:bCs/>
          <w:color w:val="000000" w:themeColor="text1"/>
        </w:rPr>
      </w:pPr>
      <w:r>
        <w:rPr>
          <w:bCs/>
          <w:noProof/>
          <w:color w:val="000000" w:themeColor="text1"/>
        </w:rPr>
        <w:drawing>
          <wp:inline distT="0" distB="0" distL="0" distR="0">
            <wp:extent cx="5274310" cy="1627505"/>
            <wp:effectExtent l="0" t="0" r="8890" b="23495"/>
            <wp:docPr id="18837257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3725711" name="图片 1"/>
                    <pic:cNvPicPr>
                      <a:picLocks noChangeAspect="1"/>
                    </pic:cNvPicPr>
                  </pic:nvPicPr>
                  <pic:blipFill>
                    <a:blip r:embed="rId25" cstate="print"/>
                    <a:stretch>
                      <a:fillRect/>
                    </a:stretch>
                  </pic:blipFill>
                  <pic:spPr>
                    <a:xfrm>
                      <a:off x="0" y="0"/>
                      <a:ext cx="5274310" cy="1627505"/>
                    </a:xfrm>
                    <a:prstGeom prst="rect">
                      <a:avLst/>
                    </a:prstGeom>
                  </pic:spPr>
                </pic:pic>
              </a:graphicData>
            </a:graphic>
          </wp:inline>
        </w:drawing>
      </w:r>
    </w:p>
    <w:p w:rsidR="00D00D0B" w:rsidRDefault="00FD0360" w:rsidP="00DB75FB">
      <w:pPr>
        <w:pStyle w:val="a6"/>
        <w:ind w:firstLine="400"/>
        <w:jc w:val="center"/>
        <w:rPr>
          <w:rFonts w:ascii="仿宋" w:eastAsia="仿宋" w:hAnsi="仿宋" w:cs="仿宋"/>
          <w:bCs/>
          <w:color w:val="0070C0"/>
        </w:rPr>
      </w:pPr>
      <w:r>
        <w:rPr>
          <w:rFonts w:ascii="仿宋" w:eastAsia="仿宋" w:hAnsi="仿宋" w:cs="仿宋" w:hint="eastAsia"/>
          <w:bCs/>
          <w:color w:val="0070C0"/>
        </w:rPr>
        <w:t>图</w:t>
      </w:r>
      <w:r w:rsidR="004C77AE">
        <w:rPr>
          <w:rFonts w:ascii="仿宋" w:eastAsia="仿宋" w:hAnsi="仿宋" w:cs="仿宋" w:hint="eastAsia"/>
          <w:bCs/>
          <w:color w:val="0070C0"/>
        </w:rPr>
        <w:fldChar w:fldCharType="begin"/>
      </w:r>
      <w:r>
        <w:rPr>
          <w:rFonts w:ascii="仿宋" w:eastAsia="仿宋" w:hAnsi="仿宋" w:cs="仿宋" w:hint="eastAsia"/>
          <w:bCs/>
          <w:color w:val="0070C0"/>
        </w:rPr>
        <w:instrText xml:space="preserve"> SEQ 图 \* ARABIC </w:instrText>
      </w:r>
      <w:r w:rsidR="004C77AE">
        <w:rPr>
          <w:rFonts w:ascii="仿宋" w:eastAsia="仿宋" w:hAnsi="仿宋" w:cs="仿宋" w:hint="eastAsia"/>
          <w:bCs/>
          <w:color w:val="0070C0"/>
        </w:rPr>
        <w:fldChar w:fldCharType="separate"/>
      </w:r>
      <w:r>
        <w:rPr>
          <w:rFonts w:ascii="仿宋" w:eastAsia="仿宋" w:hAnsi="仿宋" w:cs="仿宋" w:hint="eastAsia"/>
          <w:bCs/>
          <w:color w:val="0070C0"/>
        </w:rPr>
        <w:t>5</w:t>
      </w:r>
      <w:r w:rsidR="004C77AE">
        <w:rPr>
          <w:rFonts w:ascii="仿宋" w:eastAsia="仿宋" w:hAnsi="仿宋" w:cs="仿宋" w:hint="eastAsia"/>
          <w:bCs/>
          <w:color w:val="0070C0"/>
        </w:rPr>
        <w:fldChar w:fldCharType="end"/>
      </w:r>
      <w:r>
        <w:rPr>
          <w:rFonts w:ascii="仿宋" w:eastAsia="仿宋" w:hAnsi="仿宋" w:cs="仿宋" w:hint="eastAsia"/>
          <w:bCs/>
          <w:color w:val="0070C0"/>
        </w:rPr>
        <w:t xml:space="preserve"> 2025年3月起报的冬季（DJF）极端低温（寒潮）发生天数相比往年平均的差值</w:t>
      </w:r>
    </w:p>
    <w:p w:rsidR="00D00D0B" w:rsidRDefault="00FD0360">
      <w:pPr>
        <w:widowControl/>
        <w:kinsoku w:val="0"/>
        <w:autoSpaceDE w:val="0"/>
        <w:autoSpaceDN w:val="0"/>
        <w:adjustRightInd w:val="0"/>
        <w:snapToGrid w:val="0"/>
        <w:spacing w:line="240" w:lineRule="auto"/>
        <w:ind w:firstLine="584"/>
        <w:textAlignment w:val="baseline"/>
        <w:rPr>
          <w:rFonts w:ascii="仿宋" w:eastAsia="仿宋" w:hAnsi="仿宋" w:cs="仿宋"/>
          <w:bCs/>
          <w:snapToGrid w:val="0"/>
          <w:color w:val="000000" w:themeColor="text1"/>
          <w:spacing w:val="6"/>
          <w:kern w:val="0"/>
          <w:sz w:val="28"/>
          <w:szCs w:val="28"/>
        </w:rPr>
      </w:pPr>
      <w:r>
        <w:rPr>
          <w:rFonts w:ascii="仿宋" w:eastAsia="仿宋" w:hAnsi="仿宋" w:cs="仿宋" w:hint="eastAsia"/>
          <w:bCs/>
          <w:snapToGrid w:val="0"/>
          <w:color w:val="000000" w:themeColor="text1"/>
          <w:spacing w:val="6"/>
          <w:kern w:val="0"/>
          <w:sz w:val="28"/>
          <w:szCs w:val="28"/>
        </w:rPr>
        <w:t>而寒潮的强度在一月份时候最高，2025年12月寒潮对应的最低气温在-2℃以上，苏南和南通等地最低气温在0℃以上。而2026年1月寒潮普遍最低气温在-3℃以下，其中在苏北的邳州、东海、赣榆、苏中的扬州市区、泰兴、姜堰等地最低气温可达到-5℃以下。二月寒潮整体强度中等，在仪征、邳州等地最低气温可达-2℃以下，其他地区多在-1℃左右（图6）。</w:t>
      </w:r>
    </w:p>
    <w:p w:rsidR="00D00D0B" w:rsidRDefault="00FD0360">
      <w:pPr>
        <w:widowControl/>
        <w:kinsoku w:val="0"/>
        <w:autoSpaceDE w:val="0"/>
        <w:autoSpaceDN w:val="0"/>
        <w:adjustRightInd w:val="0"/>
        <w:snapToGrid w:val="0"/>
        <w:spacing w:line="240" w:lineRule="auto"/>
        <w:ind w:firstLineChars="0" w:firstLine="0"/>
        <w:jc w:val="center"/>
        <w:textAlignment w:val="baseline"/>
        <w:rPr>
          <w:bCs/>
          <w:color w:val="000000" w:themeColor="text1"/>
        </w:rPr>
      </w:pPr>
      <w:r>
        <w:rPr>
          <w:bCs/>
          <w:noProof/>
          <w:color w:val="000000" w:themeColor="text1"/>
        </w:rPr>
        <w:drawing>
          <wp:inline distT="0" distB="0" distL="0" distR="0">
            <wp:extent cx="5274310" cy="1621155"/>
            <wp:effectExtent l="0" t="0" r="8890" b="4445"/>
            <wp:docPr id="10569826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698264" name="图片 3"/>
                    <pic:cNvPicPr>
                      <a:picLocks noChangeAspect="1"/>
                    </pic:cNvPicPr>
                  </pic:nvPicPr>
                  <pic:blipFill>
                    <a:blip r:embed="rId26" cstate="print"/>
                    <a:stretch>
                      <a:fillRect/>
                    </a:stretch>
                  </pic:blipFill>
                  <pic:spPr>
                    <a:xfrm>
                      <a:off x="0" y="0"/>
                      <a:ext cx="5274310" cy="1621155"/>
                    </a:xfrm>
                    <a:prstGeom prst="rect">
                      <a:avLst/>
                    </a:prstGeom>
                  </pic:spPr>
                </pic:pic>
              </a:graphicData>
            </a:graphic>
          </wp:inline>
        </w:drawing>
      </w:r>
    </w:p>
    <w:p w:rsidR="00D00D0B" w:rsidRDefault="00FD0360" w:rsidP="00DB75FB">
      <w:pPr>
        <w:pStyle w:val="a6"/>
        <w:ind w:firstLine="400"/>
        <w:jc w:val="center"/>
        <w:rPr>
          <w:rFonts w:ascii="仿宋" w:eastAsia="仿宋" w:hAnsi="仿宋" w:cs="仿宋"/>
          <w:bCs/>
          <w:color w:val="0070C0"/>
        </w:rPr>
      </w:pPr>
      <w:r>
        <w:rPr>
          <w:rFonts w:ascii="仿宋" w:eastAsia="仿宋" w:hAnsi="仿宋" w:cs="仿宋" w:hint="eastAsia"/>
          <w:bCs/>
          <w:color w:val="0070C0"/>
        </w:rPr>
        <w:t xml:space="preserve">图 </w:t>
      </w:r>
      <w:r w:rsidR="004C77AE">
        <w:rPr>
          <w:rFonts w:ascii="仿宋" w:eastAsia="仿宋" w:hAnsi="仿宋" w:cs="仿宋" w:hint="eastAsia"/>
          <w:bCs/>
          <w:color w:val="0070C0"/>
        </w:rPr>
        <w:fldChar w:fldCharType="begin"/>
      </w:r>
      <w:r>
        <w:rPr>
          <w:rFonts w:ascii="仿宋" w:eastAsia="仿宋" w:hAnsi="仿宋" w:cs="仿宋" w:hint="eastAsia"/>
          <w:bCs/>
          <w:color w:val="0070C0"/>
        </w:rPr>
        <w:instrText xml:space="preserve"> SEQ 图 \* ARABIC </w:instrText>
      </w:r>
      <w:r w:rsidR="004C77AE">
        <w:rPr>
          <w:rFonts w:ascii="仿宋" w:eastAsia="仿宋" w:hAnsi="仿宋" w:cs="仿宋" w:hint="eastAsia"/>
          <w:bCs/>
          <w:color w:val="0070C0"/>
        </w:rPr>
        <w:fldChar w:fldCharType="separate"/>
      </w:r>
      <w:r>
        <w:rPr>
          <w:rFonts w:ascii="仿宋" w:eastAsia="仿宋" w:hAnsi="仿宋" w:cs="仿宋" w:hint="eastAsia"/>
          <w:bCs/>
          <w:color w:val="0070C0"/>
        </w:rPr>
        <w:t>6</w:t>
      </w:r>
      <w:r w:rsidR="004C77AE">
        <w:rPr>
          <w:rFonts w:ascii="仿宋" w:eastAsia="仿宋" w:hAnsi="仿宋" w:cs="仿宋" w:hint="eastAsia"/>
          <w:bCs/>
          <w:color w:val="0070C0"/>
        </w:rPr>
        <w:fldChar w:fldCharType="end"/>
      </w:r>
      <w:r>
        <w:rPr>
          <w:rFonts w:ascii="仿宋" w:eastAsia="仿宋" w:hAnsi="仿宋" w:cs="仿宋" w:hint="eastAsia"/>
          <w:bCs/>
          <w:color w:val="0070C0"/>
        </w:rPr>
        <w:t xml:space="preserve"> 2025年3月起报的冬季（DJF）极端低温（寒潮）所在天最低气温范围预测</w:t>
      </w:r>
    </w:p>
    <w:p w:rsidR="00D00D0B" w:rsidRDefault="00FD0360" w:rsidP="00CC58E9">
      <w:pPr>
        <w:widowControl/>
        <w:kinsoku w:val="0"/>
        <w:autoSpaceDE w:val="0"/>
        <w:autoSpaceDN w:val="0"/>
        <w:adjustRightInd w:val="0"/>
        <w:snapToGrid w:val="0"/>
        <w:spacing w:beforeLines="50" w:afterLines="50" w:line="240" w:lineRule="auto"/>
        <w:ind w:firstLine="584"/>
        <w:textAlignment w:val="baseline"/>
        <w:rPr>
          <w:rFonts w:ascii="黑体" w:eastAsia="黑体" w:hAnsi="黑体" w:cs="黑体"/>
          <w:bCs/>
          <w:snapToGrid w:val="0"/>
          <w:color w:val="000000" w:themeColor="text1"/>
          <w:spacing w:val="6"/>
          <w:kern w:val="0"/>
          <w:sz w:val="28"/>
          <w:szCs w:val="28"/>
        </w:rPr>
      </w:pPr>
      <w:r>
        <w:rPr>
          <w:rFonts w:ascii="黑体" w:eastAsia="黑体" w:hAnsi="黑体" w:cs="黑体" w:hint="eastAsia"/>
          <w:bCs/>
          <w:snapToGrid w:val="0"/>
          <w:color w:val="000000" w:themeColor="text1"/>
          <w:spacing w:val="6"/>
          <w:kern w:val="0"/>
          <w:sz w:val="28"/>
          <w:szCs w:val="28"/>
        </w:rPr>
        <w:t>3）江苏省2025年台风预测结果</w:t>
      </w:r>
    </w:p>
    <w:p w:rsidR="00D00D0B" w:rsidRDefault="00FD0360">
      <w:pPr>
        <w:widowControl/>
        <w:kinsoku w:val="0"/>
        <w:autoSpaceDE w:val="0"/>
        <w:autoSpaceDN w:val="0"/>
        <w:adjustRightInd w:val="0"/>
        <w:snapToGrid w:val="0"/>
        <w:spacing w:line="240" w:lineRule="auto"/>
        <w:ind w:firstLine="584"/>
        <w:textAlignment w:val="baseline"/>
        <w:rPr>
          <w:rFonts w:ascii="仿宋" w:eastAsia="仿宋" w:hAnsi="仿宋" w:cs="仿宋"/>
          <w:bCs/>
          <w:snapToGrid w:val="0"/>
          <w:color w:val="000000" w:themeColor="text1"/>
          <w:spacing w:val="6"/>
          <w:kern w:val="0"/>
          <w:sz w:val="28"/>
          <w:szCs w:val="28"/>
        </w:rPr>
      </w:pPr>
      <w:r>
        <w:rPr>
          <w:rFonts w:ascii="仿宋" w:eastAsia="仿宋" w:hAnsi="仿宋" w:cs="仿宋" w:hint="eastAsia"/>
          <w:bCs/>
          <w:snapToGrid w:val="0"/>
          <w:color w:val="000000" w:themeColor="text1"/>
          <w:spacing w:val="6"/>
          <w:kern w:val="0"/>
          <w:sz w:val="28"/>
          <w:szCs w:val="28"/>
        </w:rPr>
        <w:t>根据最新预测，预计2025年6-9月生成热带气旋个数较气候态偏少2个（13-14个；表1），并且有很大概率在我国华南地区登陆（图7，8）。</w:t>
      </w:r>
    </w:p>
    <w:p w:rsidR="00D00D0B" w:rsidRDefault="00FD0360">
      <w:pPr>
        <w:widowControl/>
        <w:kinsoku w:val="0"/>
        <w:autoSpaceDE w:val="0"/>
        <w:autoSpaceDN w:val="0"/>
        <w:adjustRightInd w:val="0"/>
        <w:snapToGrid w:val="0"/>
        <w:spacing w:line="240" w:lineRule="auto"/>
        <w:ind w:firstLineChars="0" w:firstLine="0"/>
        <w:jc w:val="center"/>
        <w:textAlignment w:val="baseline"/>
        <w:rPr>
          <w:rFonts w:ascii="仿宋" w:eastAsia="仿宋" w:hAnsi="仿宋" w:cs="仿宋"/>
          <w:bCs/>
          <w:snapToGrid w:val="0"/>
          <w:color w:val="000000" w:themeColor="text1"/>
          <w:spacing w:val="6"/>
          <w:kern w:val="0"/>
          <w:sz w:val="28"/>
          <w:szCs w:val="28"/>
        </w:rPr>
      </w:pPr>
      <w:r>
        <w:rPr>
          <w:rFonts w:hint="eastAsia"/>
          <w:bCs/>
          <w:noProof/>
          <w:color w:val="000000" w:themeColor="text1"/>
        </w:rPr>
        <w:lastRenderedPageBreak/>
        <w:drawing>
          <wp:inline distT="0" distB="0" distL="0" distR="0">
            <wp:extent cx="5205095" cy="1877695"/>
            <wp:effectExtent l="0" t="0" r="1905" b="1905"/>
            <wp:docPr id="121933780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9337803" name="图片 2"/>
                    <pic:cNvPicPr>
                      <a:picLocks noChangeAspect="1" noChangeArrowheads="1"/>
                    </pic:cNvPicPr>
                  </pic:nvPicPr>
                  <pic:blipFill>
                    <a:blip r:embed="rId2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ps="http://schemas.microsoft.com/office/word/2010/wordprocessingShape" xmlns:wpsCustomData="http://www.wps.cn/officeDocument/2013/wpsCustomData" xmlns:a14="http://schemas.microsoft.com/office/drawing/2010/main" val="0"/>
                        </a:ext>
                      </a:extLst>
                    </a:blip>
                    <a:srcRect/>
                    <a:stretch>
                      <a:fillRect/>
                    </a:stretch>
                  </pic:blipFill>
                  <pic:spPr>
                    <a:xfrm>
                      <a:off x="0" y="0"/>
                      <a:ext cx="5205095" cy="1877695"/>
                    </a:xfrm>
                    <a:prstGeom prst="rect">
                      <a:avLst/>
                    </a:prstGeom>
                    <a:noFill/>
                  </pic:spPr>
                </pic:pic>
              </a:graphicData>
            </a:graphic>
          </wp:inline>
        </w:drawing>
      </w:r>
    </w:p>
    <w:p w:rsidR="00D00D0B" w:rsidRDefault="00FD0360" w:rsidP="00DB75FB">
      <w:pPr>
        <w:pStyle w:val="a6"/>
        <w:ind w:firstLine="400"/>
        <w:jc w:val="center"/>
        <w:rPr>
          <w:rFonts w:ascii="仿宋" w:eastAsia="仿宋" w:hAnsi="仿宋" w:cs="仿宋"/>
          <w:bCs/>
          <w:color w:val="0070C0"/>
        </w:rPr>
      </w:pPr>
      <w:r>
        <w:rPr>
          <w:rFonts w:ascii="仿宋" w:eastAsia="仿宋" w:hAnsi="仿宋" w:cs="仿宋" w:hint="eastAsia"/>
          <w:bCs/>
          <w:color w:val="0070C0"/>
        </w:rPr>
        <w:t xml:space="preserve">图 </w:t>
      </w:r>
      <w:r w:rsidR="004C77AE">
        <w:rPr>
          <w:rFonts w:ascii="仿宋" w:eastAsia="仿宋" w:hAnsi="仿宋" w:cs="仿宋" w:hint="eastAsia"/>
          <w:bCs/>
          <w:color w:val="0070C0"/>
        </w:rPr>
        <w:fldChar w:fldCharType="begin"/>
      </w:r>
      <w:r>
        <w:rPr>
          <w:rFonts w:ascii="仿宋" w:eastAsia="仿宋" w:hAnsi="仿宋" w:cs="仿宋" w:hint="eastAsia"/>
          <w:bCs/>
          <w:color w:val="0070C0"/>
        </w:rPr>
        <w:instrText xml:space="preserve"> SEQ 图 \* ARABIC </w:instrText>
      </w:r>
      <w:r w:rsidR="004C77AE">
        <w:rPr>
          <w:rFonts w:ascii="仿宋" w:eastAsia="仿宋" w:hAnsi="仿宋" w:cs="仿宋" w:hint="eastAsia"/>
          <w:bCs/>
          <w:color w:val="0070C0"/>
        </w:rPr>
        <w:fldChar w:fldCharType="separate"/>
      </w:r>
      <w:r>
        <w:rPr>
          <w:rFonts w:ascii="仿宋" w:eastAsia="仿宋" w:hAnsi="仿宋" w:cs="仿宋" w:hint="eastAsia"/>
          <w:bCs/>
          <w:color w:val="0070C0"/>
        </w:rPr>
        <w:t>7</w:t>
      </w:r>
      <w:r w:rsidR="004C77AE">
        <w:rPr>
          <w:rFonts w:ascii="仿宋" w:eastAsia="仿宋" w:hAnsi="仿宋" w:cs="仿宋" w:hint="eastAsia"/>
          <w:bCs/>
          <w:color w:val="0070C0"/>
        </w:rPr>
        <w:fldChar w:fldCharType="end"/>
      </w:r>
      <w:r>
        <w:rPr>
          <w:rFonts w:ascii="仿宋" w:eastAsia="仿宋" w:hAnsi="仿宋" w:cs="仿宋" w:hint="eastAsia"/>
          <w:bCs/>
          <w:color w:val="0070C0"/>
        </w:rPr>
        <w:t xml:space="preserve"> 2025年3月1日起报的夏季(6-9月)西北太平洋热带气旋路径预测结果</w:t>
      </w:r>
    </w:p>
    <w:p w:rsidR="00D00D0B" w:rsidRDefault="00FD0360">
      <w:pPr>
        <w:widowControl/>
        <w:kinsoku w:val="0"/>
        <w:autoSpaceDE w:val="0"/>
        <w:autoSpaceDN w:val="0"/>
        <w:adjustRightInd w:val="0"/>
        <w:snapToGrid w:val="0"/>
        <w:spacing w:line="240" w:lineRule="auto"/>
        <w:ind w:firstLineChars="0" w:firstLine="0"/>
        <w:jc w:val="center"/>
        <w:textAlignment w:val="baseline"/>
        <w:rPr>
          <w:bCs/>
          <w:color w:val="000000" w:themeColor="text1"/>
        </w:rPr>
      </w:pPr>
      <w:r>
        <w:rPr>
          <w:rFonts w:hint="eastAsia"/>
          <w:bCs/>
          <w:noProof/>
          <w:color w:val="000000" w:themeColor="text1"/>
        </w:rPr>
        <w:drawing>
          <wp:inline distT="0" distB="0" distL="0" distR="0">
            <wp:extent cx="5049520" cy="2519045"/>
            <wp:effectExtent l="0" t="0" r="5080" b="20955"/>
            <wp:docPr id="131538395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5383951" name="图片 3"/>
                    <pic:cNvPicPr>
                      <a:picLocks noChangeAspect="1" noChangeArrowheads="1"/>
                    </pic:cNvPicPr>
                  </pic:nvPicPr>
                  <pic:blipFill>
                    <a:blip r:embed="rId2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ps="http://schemas.microsoft.com/office/word/2010/wordprocessingShape" xmlns:wpsCustomData="http://www.wps.cn/officeDocument/2013/wpsCustomData" xmlns:a14="http://schemas.microsoft.com/office/drawing/2010/main" val="0"/>
                        </a:ext>
                      </a:extLst>
                    </a:blip>
                    <a:srcRect/>
                    <a:stretch>
                      <a:fillRect/>
                    </a:stretch>
                  </pic:blipFill>
                  <pic:spPr>
                    <a:xfrm>
                      <a:off x="0" y="0"/>
                      <a:ext cx="5049520" cy="2519045"/>
                    </a:xfrm>
                    <a:prstGeom prst="rect">
                      <a:avLst/>
                    </a:prstGeom>
                    <a:noFill/>
                  </pic:spPr>
                </pic:pic>
              </a:graphicData>
            </a:graphic>
          </wp:inline>
        </w:drawing>
      </w:r>
    </w:p>
    <w:p w:rsidR="00D00D0B" w:rsidRDefault="00FD0360" w:rsidP="00DB75FB">
      <w:pPr>
        <w:pStyle w:val="a6"/>
        <w:ind w:firstLine="400"/>
        <w:jc w:val="center"/>
        <w:rPr>
          <w:rFonts w:ascii="仿宋" w:eastAsia="仿宋" w:hAnsi="仿宋" w:cs="仿宋"/>
          <w:bCs/>
          <w:color w:val="0070C0"/>
        </w:rPr>
      </w:pPr>
      <w:r>
        <w:rPr>
          <w:rFonts w:ascii="仿宋" w:eastAsia="仿宋" w:hAnsi="仿宋" w:cs="仿宋" w:hint="eastAsia"/>
          <w:bCs/>
          <w:color w:val="0070C0"/>
        </w:rPr>
        <w:t>图</w:t>
      </w:r>
      <w:r w:rsidR="004C77AE">
        <w:rPr>
          <w:rFonts w:ascii="仿宋" w:eastAsia="仿宋" w:hAnsi="仿宋" w:cs="仿宋" w:hint="eastAsia"/>
          <w:bCs/>
          <w:color w:val="0070C0"/>
        </w:rPr>
        <w:fldChar w:fldCharType="begin"/>
      </w:r>
      <w:r>
        <w:rPr>
          <w:rFonts w:ascii="仿宋" w:eastAsia="仿宋" w:hAnsi="仿宋" w:cs="仿宋" w:hint="eastAsia"/>
          <w:bCs/>
          <w:color w:val="0070C0"/>
        </w:rPr>
        <w:instrText xml:space="preserve"> SEQ 图 \* ARABIC </w:instrText>
      </w:r>
      <w:r w:rsidR="004C77AE">
        <w:rPr>
          <w:rFonts w:ascii="仿宋" w:eastAsia="仿宋" w:hAnsi="仿宋" w:cs="仿宋" w:hint="eastAsia"/>
          <w:bCs/>
          <w:color w:val="0070C0"/>
        </w:rPr>
        <w:fldChar w:fldCharType="separate"/>
      </w:r>
      <w:r>
        <w:rPr>
          <w:rFonts w:ascii="仿宋" w:eastAsia="仿宋" w:hAnsi="仿宋" w:cs="仿宋" w:hint="eastAsia"/>
          <w:bCs/>
          <w:color w:val="0070C0"/>
        </w:rPr>
        <w:t>8</w:t>
      </w:r>
      <w:r w:rsidR="004C77AE">
        <w:rPr>
          <w:rFonts w:ascii="仿宋" w:eastAsia="仿宋" w:hAnsi="仿宋" w:cs="仿宋" w:hint="eastAsia"/>
          <w:bCs/>
          <w:color w:val="0070C0"/>
        </w:rPr>
        <w:fldChar w:fldCharType="end"/>
      </w:r>
      <w:r>
        <w:rPr>
          <w:rFonts w:ascii="仿宋" w:eastAsia="仿宋" w:hAnsi="仿宋" w:cs="仿宋" w:hint="eastAsia"/>
          <w:bCs/>
          <w:color w:val="0070C0"/>
        </w:rPr>
        <w:t xml:space="preserve"> 2025年3月1日起报的夏季(6-9月)西北太平洋热带气旋路径；图中为NUIST-CFS1.0预测系统9个成员分别的预测结果</w:t>
      </w:r>
    </w:p>
    <w:p w:rsidR="00D00D0B" w:rsidRDefault="00FD0360">
      <w:pPr>
        <w:widowControl/>
        <w:kinsoku w:val="0"/>
        <w:autoSpaceDE w:val="0"/>
        <w:autoSpaceDN w:val="0"/>
        <w:adjustRightInd w:val="0"/>
        <w:snapToGrid w:val="0"/>
        <w:spacing w:line="240" w:lineRule="auto"/>
        <w:ind w:firstLine="584"/>
        <w:textAlignment w:val="baseline"/>
        <w:rPr>
          <w:rFonts w:ascii="仿宋" w:eastAsia="仿宋" w:hAnsi="仿宋" w:cs="仿宋"/>
          <w:bCs/>
          <w:snapToGrid w:val="0"/>
          <w:color w:val="000000" w:themeColor="text1"/>
          <w:spacing w:val="6"/>
          <w:kern w:val="0"/>
          <w:sz w:val="28"/>
          <w:szCs w:val="28"/>
        </w:rPr>
      </w:pPr>
      <w:r>
        <w:rPr>
          <w:rFonts w:ascii="仿宋" w:eastAsia="仿宋" w:hAnsi="仿宋" w:cs="仿宋" w:hint="eastAsia"/>
          <w:bCs/>
          <w:snapToGrid w:val="0"/>
          <w:color w:val="000000" w:themeColor="text1"/>
          <w:spacing w:val="6"/>
          <w:kern w:val="0"/>
          <w:sz w:val="28"/>
          <w:szCs w:val="28"/>
        </w:rPr>
        <w:t>生成的热带气旋对台湾、华南地区影响较大，对我国华东沿海的影响较气候态偏弱（图9）。</w:t>
      </w:r>
    </w:p>
    <w:p w:rsidR="00D00D0B" w:rsidRDefault="00FD0360">
      <w:pPr>
        <w:widowControl/>
        <w:kinsoku w:val="0"/>
        <w:autoSpaceDE w:val="0"/>
        <w:autoSpaceDN w:val="0"/>
        <w:adjustRightInd w:val="0"/>
        <w:snapToGrid w:val="0"/>
        <w:spacing w:line="240" w:lineRule="auto"/>
        <w:ind w:firstLineChars="0" w:firstLine="0"/>
        <w:jc w:val="center"/>
        <w:textAlignment w:val="baseline"/>
        <w:rPr>
          <w:bCs/>
          <w:color w:val="000000" w:themeColor="text1"/>
        </w:rPr>
      </w:pPr>
      <w:r>
        <w:rPr>
          <w:rFonts w:hint="eastAsia"/>
          <w:bCs/>
          <w:noProof/>
          <w:color w:val="000000" w:themeColor="text1"/>
        </w:rPr>
        <w:drawing>
          <wp:inline distT="0" distB="0" distL="0" distR="0">
            <wp:extent cx="5118735" cy="2987675"/>
            <wp:effectExtent l="0" t="0" r="12065" b="9525"/>
            <wp:docPr id="64654597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6545973" name="图片 4"/>
                    <pic:cNvPicPr>
                      <a:picLocks noChangeAspect="1" noChangeArrowheads="1"/>
                    </pic:cNvPicPr>
                  </pic:nvPicPr>
                  <pic:blipFill>
                    <a:blip r:embed="rId2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ps="http://schemas.microsoft.com/office/word/2010/wordprocessingShape" xmlns:wpsCustomData="http://www.wps.cn/officeDocument/2013/wpsCustomData" xmlns:a14="http://schemas.microsoft.com/office/drawing/2010/main" val="0"/>
                        </a:ext>
                      </a:extLst>
                    </a:blip>
                    <a:srcRect/>
                    <a:stretch>
                      <a:fillRect/>
                    </a:stretch>
                  </pic:blipFill>
                  <pic:spPr>
                    <a:xfrm>
                      <a:off x="0" y="0"/>
                      <a:ext cx="5118735" cy="2987675"/>
                    </a:xfrm>
                    <a:prstGeom prst="rect">
                      <a:avLst/>
                    </a:prstGeom>
                    <a:noFill/>
                  </pic:spPr>
                </pic:pic>
              </a:graphicData>
            </a:graphic>
          </wp:inline>
        </w:drawing>
      </w:r>
    </w:p>
    <w:p w:rsidR="00D00D0B" w:rsidRDefault="00FD0360" w:rsidP="00DB75FB">
      <w:pPr>
        <w:pStyle w:val="a6"/>
        <w:ind w:firstLine="400"/>
        <w:jc w:val="center"/>
        <w:rPr>
          <w:rFonts w:ascii="仿宋" w:eastAsia="仿宋" w:hAnsi="仿宋" w:cs="仿宋"/>
          <w:bCs/>
          <w:color w:val="0070C0"/>
        </w:rPr>
      </w:pPr>
      <w:r>
        <w:rPr>
          <w:rFonts w:ascii="仿宋" w:eastAsia="仿宋" w:hAnsi="仿宋" w:cs="仿宋" w:hint="eastAsia"/>
          <w:bCs/>
          <w:color w:val="0070C0"/>
        </w:rPr>
        <w:t>图</w:t>
      </w:r>
      <w:r w:rsidR="004C77AE">
        <w:rPr>
          <w:rFonts w:ascii="仿宋" w:eastAsia="仿宋" w:hAnsi="仿宋" w:cs="仿宋" w:hint="eastAsia"/>
          <w:bCs/>
          <w:color w:val="0070C0"/>
        </w:rPr>
        <w:fldChar w:fldCharType="begin"/>
      </w:r>
      <w:r>
        <w:rPr>
          <w:rFonts w:ascii="仿宋" w:eastAsia="仿宋" w:hAnsi="仿宋" w:cs="仿宋" w:hint="eastAsia"/>
          <w:bCs/>
          <w:color w:val="0070C0"/>
        </w:rPr>
        <w:instrText xml:space="preserve"> SEQ 图 \* ARABIC </w:instrText>
      </w:r>
      <w:r w:rsidR="004C77AE">
        <w:rPr>
          <w:rFonts w:ascii="仿宋" w:eastAsia="仿宋" w:hAnsi="仿宋" w:cs="仿宋" w:hint="eastAsia"/>
          <w:bCs/>
          <w:color w:val="0070C0"/>
        </w:rPr>
        <w:fldChar w:fldCharType="separate"/>
      </w:r>
      <w:r>
        <w:rPr>
          <w:rFonts w:ascii="仿宋" w:eastAsia="仿宋" w:hAnsi="仿宋" w:cs="仿宋" w:hint="eastAsia"/>
          <w:bCs/>
          <w:color w:val="0070C0"/>
        </w:rPr>
        <w:t>9</w:t>
      </w:r>
      <w:r w:rsidR="004C77AE">
        <w:rPr>
          <w:rFonts w:ascii="仿宋" w:eastAsia="仿宋" w:hAnsi="仿宋" w:cs="仿宋" w:hint="eastAsia"/>
          <w:bCs/>
          <w:color w:val="0070C0"/>
        </w:rPr>
        <w:fldChar w:fldCharType="end"/>
      </w:r>
      <w:r>
        <w:rPr>
          <w:rFonts w:ascii="仿宋" w:eastAsia="仿宋" w:hAnsi="仿宋" w:cs="仿宋" w:hint="eastAsia"/>
          <w:bCs/>
          <w:color w:val="0070C0"/>
        </w:rPr>
        <w:t xml:space="preserve"> 2025年3月1日起报的夏季(6-9月)西北太平洋热带气旋路径预测结果</w:t>
      </w:r>
    </w:p>
    <w:p w:rsidR="00D00D0B" w:rsidRDefault="00FD0360" w:rsidP="00DB75FB">
      <w:pPr>
        <w:pStyle w:val="20"/>
        <w:spacing w:before="156" w:after="62"/>
      </w:pPr>
      <w:bookmarkStart w:id="12" w:name="_Toc18434"/>
      <w:r>
        <w:rPr>
          <w:rFonts w:hint="eastAsia"/>
        </w:rPr>
        <w:lastRenderedPageBreak/>
        <w:t>3.2 转型风险评估过程</w:t>
      </w:r>
      <w:bookmarkEnd w:id="12"/>
    </w:p>
    <w:p w:rsidR="00D00D0B" w:rsidRDefault="00FD0360" w:rsidP="00DB75FB">
      <w:pPr>
        <w:pStyle w:val="3"/>
        <w:spacing w:before="156" w:after="62"/>
      </w:pPr>
      <w:r>
        <w:rPr>
          <w:rFonts w:hint="eastAsia"/>
        </w:rPr>
        <w:t>3.2.1 情景设定</w:t>
      </w:r>
    </w:p>
    <w:p w:rsidR="00D00D0B" w:rsidRDefault="00FD0360">
      <w:pPr>
        <w:widowControl/>
        <w:kinsoku w:val="0"/>
        <w:autoSpaceDE w:val="0"/>
        <w:autoSpaceDN w:val="0"/>
        <w:adjustRightInd w:val="0"/>
        <w:snapToGrid w:val="0"/>
        <w:spacing w:line="240" w:lineRule="auto"/>
        <w:ind w:firstLine="584"/>
        <w:textAlignment w:val="baseline"/>
        <w:rPr>
          <w:rFonts w:ascii="仿宋" w:eastAsia="仿宋" w:hAnsi="仿宋" w:cs="仿宋"/>
          <w:bCs/>
          <w:snapToGrid w:val="0"/>
          <w:color w:val="000000" w:themeColor="text1"/>
          <w:spacing w:val="6"/>
          <w:kern w:val="0"/>
          <w:sz w:val="28"/>
          <w:szCs w:val="28"/>
        </w:rPr>
      </w:pPr>
      <w:r>
        <w:rPr>
          <w:rFonts w:ascii="仿宋" w:eastAsia="仿宋" w:hAnsi="仿宋" w:cs="仿宋" w:hint="eastAsia"/>
          <w:bCs/>
          <w:snapToGrid w:val="0"/>
          <w:color w:val="000000" w:themeColor="text1"/>
          <w:spacing w:val="6"/>
          <w:kern w:val="0"/>
          <w:sz w:val="28"/>
          <w:szCs w:val="28"/>
        </w:rPr>
        <w:t>央行绿色金融网络（NGFS）发布《金融机构气候风险风险分析综述》和《案例集》，情景开发方面的新进展是发布了NGFS三大情景：</w:t>
      </w:r>
      <w:proofErr w:type="spellStart"/>
      <w:r>
        <w:rPr>
          <w:rFonts w:ascii="仿宋" w:eastAsia="仿宋" w:hAnsi="仿宋" w:cs="仿宋" w:hint="eastAsia"/>
          <w:bCs/>
          <w:snapToGrid w:val="0"/>
          <w:color w:val="000000" w:themeColor="text1"/>
          <w:spacing w:val="6"/>
          <w:kern w:val="0"/>
          <w:sz w:val="28"/>
          <w:szCs w:val="28"/>
        </w:rPr>
        <w:t>i</w:t>
      </w:r>
      <w:proofErr w:type="spellEnd"/>
      <w:r>
        <w:rPr>
          <w:rFonts w:ascii="仿宋" w:eastAsia="仿宋" w:hAnsi="仿宋" w:cs="仿宋" w:hint="eastAsia"/>
          <w:bCs/>
          <w:snapToGrid w:val="0"/>
          <w:color w:val="000000" w:themeColor="text1"/>
          <w:spacing w:val="6"/>
          <w:kern w:val="0"/>
          <w:sz w:val="28"/>
          <w:szCs w:val="28"/>
        </w:rPr>
        <w:t>.有序转型（气温升幅控制在1.5-2°C）；ii.无序转型（气温升幅控制在1.5-2°C，但其转型风险高于有序转型）；iii.温室世界（仅实施当前政策，气温升幅高于3°C，甚至达不到目前的国家自主贡献目标）。</w:t>
      </w:r>
    </w:p>
    <w:p w:rsidR="00D00D0B" w:rsidRDefault="00FD0360">
      <w:pPr>
        <w:widowControl/>
        <w:kinsoku w:val="0"/>
        <w:autoSpaceDE w:val="0"/>
        <w:autoSpaceDN w:val="0"/>
        <w:adjustRightInd w:val="0"/>
        <w:snapToGrid w:val="0"/>
        <w:spacing w:line="240" w:lineRule="auto"/>
        <w:ind w:firstLine="584"/>
        <w:textAlignment w:val="baseline"/>
        <w:rPr>
          <w:rFonts w:ascii="仿宋" w:eastAsia="仿宋" w:hAnsi="仿宋" w:cs="仿宋"/>
          <w:bCs/>
          <w:snapToGrid w:val="0"/>
          <w:color w:val="000000" w:themeColor="text1"/>
          <w:spacing w:val="6"/>
          <w:kern w:val="0"/>
          <w:sz w:val="28"/>
          <w:szCs w:val="28"/>
        </w:rPr>
      </w:pPr>
      <w:r>
        <w:rPr>
          <w:rFonts w:ascii="仿宋" w:eastAsia="仿宋" w:hAnsi="仿宋" w:cs="仿宋" w:hint="eastAsia"/>
          <w:bCs/>
          <w:snapToGrid w:val="0"/>
          <w:color w:val="000000" w:themeColor="text1"/>
          <w:spacing w:val="6"/>
          <w:kern w:val="0"/>
          <w:sz w:val="28"/>
          <w:szCs w:val="28"/>
        </w:rPr>
        <w:t>考虑到我国目前积极有序开展低碳转型的国情和未来世界低碳发展局势的不确定性，选择了ADVANCE_2020_1.5C-2100（有序转型）完成测试，包括宽松政策下的高排放情景、中等政策约束下的转型情景以及严格政策管控下的低碳情景等。</w:t>
      </w:r>
    </w:p>
    <w:p w:rsidR="00D00D0B" w:rsidRDefault="00FD0360">
      <w:pPr>
        <w:ind w:firstLineChars="0" w:firstLine="0"/>
        <w:jc w:val="center"/>
        <w:rPr>
          <w:rFonts w:ascii="黑体" w:eastAsia="黑体" w:hAnsi="黑体" w:cs="黑体"/>
          <w:sz w:val="24"/>
          <w:szCs w:val="24"/>
        </w:rPr>
      </w:pPr>
      <w:r>
        <w:rPr>
          <w:rFonts w:ascii="黑体" w:eastAsia="黑体" w:hAnsi="黑体" w:cs="黑体" w:hint="eastAsia"/>
          <w:sz w:val="24"/>
          <w:szCs w:val="24"/>
        </w:rPr>
        <w:t>表1 AIM/CGE 2.0情景设定</w:t>
      </w:r>
    </w:p>
    <w:tbl>
      <w:tblPr>
        <w:tblStyle w:val="ae"/>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95"/>
        <w:gridCol w:w="6570"/>
      </w:tblGrid>
      <w:tr w:rsidR="00D00D0B">
        <w:trPr>
          <w:jc w:val="center"/>
        </w:trPr>
        <w:tc>
          <w:tcPr>
            <w:tcW w:w="2995" w:type="dxa"/>
            <w:shd w:val="clear" w:color="auto" w:fill="E2EFD9" w:themeFill="accent6" w:themeFillTint="32"/>
          </w:tcPr>
          <w:p w:rsidR="00D00D0B" w:rsidRDefault="00FD0360">
            <w:pPr>
              <w:widowControl/>
              <w:kinsoku w:val="0"/>
              <w:autoSpaceDE w:val="0"/>
              <w:autoSpaceDN w:val="0"/>
              <w:adjustRightInd w:val="0"/>
              <w:snapToGrid w:val="0"/>
              <w:spacing w:line="240" w:lineRule="auto"/>
              <w:ind w:firstLineChars="0" w:firstLine="0"/>
              <w:jc w:val="center"/>
              <w:textAlignment w:val="baseline"/>
              <w:rPr>
                <w:rFonts w:ascii="黑体" w:eastAsia="黑体" w:hAnsi="黑体" w:cs="黑体"/>
                <w:bCs/>
                <w:snapToGrid w:val="0"/>
                <w:color w:val="000000" w:themeColor="text1"/>
                <w:spacing w:val="6"/>
                <w:kern w:val="0"/>
                <w:sz w:val="24"/>
                <w:szCs w:val="24"/>
              </w:rPr>
            </w:pPr>
            <w:r>
              <w:rPr>
                <w:rFonts w:ascii="黑体" w:eastAsia="黑体" w:hAnsi="黑体" w:cs="黑体" w:hint="eastAsia"/>
                <w:bCs/>
                <w:snapToGrid w:val="0"/>
                <w:color w:val="000000" w:themeColor="text1"/>
                <w:spacing w:val="6"/>
                <w:kern w:val="0"/>
                <w:sz w:val="24"/>
                <w:szCs w:val="24"/>
              </w:rPr>
              <w:t>情景设定</w:t>
            </w:r>
          </w:p>
        </w:tc>
        <w:tc>
          <w:tcPr>
            <w:tcW w:w="6570" w:type="dxa"/>
            <w:shd w:val="clear" w:color="auto" w:fill="E2EFD9" w:themeFill="accent6" w:themeFillTint="32"/>
          </w:tcPr>
          <w:p w:rsidR="00D00D0B" w:rsidRDefault="00FD0360">
            <w:pPr>
              <w:widowControl/>
              <w:kinsoku w:val="0"/>
              <w:autoSpaceDE w:val="0"/>
              <w:autoSpaceDN w:val="0"/>
              <w:adjustRightInd w:val="0"/>
              <w:snapToGrid w:val="0"/>
              <w:spacing w:line="240" w:lineRule="auto"/>
              <w:ind w:firstLineChars="0" w:firstLine="0"/>
              <w:jc w:val="center"/>
              <w:textAlignment w:val="baseline"/>
              <w:rPr>
                <w:rFonts w:ascii="黑体" w:eastAsia="黑体" w:hAnsi="黑体" w:cs="黑体"/>
                <w:bCs/>
                <w:snapToGrid w:val="0"/>
                <w:color w:val="000000" w:themeColor="text1"/>
                <w:spacing w:val="6"/>
                <w:kern w:val="0"/>
                <w:sz w:val="24"/>
                <w:szCs w:val="24"/>
              </w:rPr>
            </w:pPr>
            <w:r>
              <w:rPr>
                <w:rFonts w:ascii="黑体" w:eastAsia="黑体" w:hAnsi="黑体" w:cs="黑体" w:hint="eastAsia"/>
                <w:bCs/>
                <w:snapToGrid w:val="0"/>
                <w:color w:val="000000" w:themeColor="text1"/>
                <w:spacing w:val="6"/>
                <w:kern w:val="0"/>
                <w:sz w:val="24"/>
                <w:szCs w:val="24"/>
              </w:rPr>
              <w:t>情景说明</w:t>
            </w:r>
          </w:p>
        </w:tc>
      </w:tr>
      <w:tr w:rsidR="00D00D0B">
        <w:trPr>
          <w:jc w:val="center"/>
        </w:trPr>
        <w:tc>
          <w:tcPr>
            <w:tcW w:w="2995" w:type="dxa"/>
          </w:tcPr>
          <w:p w:rsidR="00D00D0B" w:rsidRDefault="00FD0360">
            <w:pPr>
              <w:widowControl/>
              <w:kinsoku w:val="0"/>
              <w:autoSpaceDE w:val="0"/>
              <w:autoSpaceDN w:val="0"/>
              <w:adjustRightInd w:val="0"/>
              <w:snapToGrid w:val="0"/>
              <w:spacing w:line="240" w:lineRule="auto"/>
              <w:ind w:firstLineChars="0" w:firstLine="0"/>
              <w:textAlignment w:val="baseline"/>
              <w:rPr>
                <w:rFonts w:ascii="仿宋" w:eastAsia="仿宋" w:hAnsi="仿宋" w:cs="仿宋"/>
                <w:bCs/>
                <w:snapToGrid w:val="0"/>
                <w:color w:val="000000" w:themeColor="text1"/>
                <w:spacing w:val="6"/>
                <w:kern w:val="0"/>
                <w:sz w:val="24"/>
                <w:szCs w:val="24"/>
              </w:rPr>
            </w:pPr>
            <w:r>
              <w:rPr>
                <w:rFonts w:ascii="仿宋" w:eastAsia="仿宋" w:hAnsi="仿宋" w:cs="仿宋" w:hint="eastAsia"/>
                <w:bCs/>
                <w:snapToGrid w:val="0"/>
                <w:color w:val="000000" w:themeColor="text1"/>
                <w:spacing w:val="6"/>
                <w:kern w:val="0"/>
                <w:sz w:val="24"/>
                <w:szCs w:val="24"/>
              </w:rPr>
              <w:t>ADVANCE_2020_1.5C-2100（有序转型）</w:t>
            </w:r>
          </w:p>
        </w:tc>
        <w:tc>
          <w:tcPr>
            <w:tcW w:w="6570" w:type="dxa"/>
          </w:tcPr>
          <w:p w:rsidR="00D00D0B" w:rsidRDefault="00FD0360">
            <w:pPr>
              <w:widowControl/>
              <w:kinsoku w:val="0"/>
              <w:autoSpaceDE w:val="0"/>
              <w:autoSpaceDN w:val="0"/>
              <w:adjustRightInd w:val="0"/>
              <w:snapToGrid w:val="0"/>
              <w:spacing w:line="240" w:lineRule="auto"/>
              <w:ind w:firstLineChars="0" w:firstLine="0"/>
              <w:textAlignment w:val="baseline"/>
              <w:rPr>
                <w:rFonts w:ascii="仿宋" w:eastAsia="仿宋" w:hAnsi="仿宋" w:cs="仿宋"/>
                <w:bCs/>
                <w:snapToGrid w:val="0"/>
                <w:color w:val="000000" w:themeColor="text1"/>
                <w:spacing w:val="6"/>
                <w:kern w:val="0"/>
                <w:sz w:val="24"/>
                <w:szCs w:val="24"/>
              </w:rPr>
            </w:pPr>
            <w:r>
              <w:rPr>
                <w:rFonts w:ascii="仿宋" w:eastAsia="仿宋" w:hAnsi="仿宋" w:cs="仿宋" w:hint="eastAsia"/>
                <w:bCs/>
                <w:snapToGrid w:val="0"/>
                <w:color w:val="000000" w:themeColor="text1"/>
                <w:spacing w:val="6"/>
                <w:kern w:val="0"/>
                <w:sz w:val="24"/>
                <w:szCs w:val="24"/>
              </w:rPr>
              <w:t>2020年后，</w:t>
            </w:r>
            <w:proofErr w:type="gramStart"/>
            <w:r>
              <w:rPr>
                <w:rFonts w:ascii="仿宋" w:eastAsia="仿宋" w:hAnsi="仿宋" w:cs="仿宋" w:hint="eastAsia"/>
                <w:bCs/>
                <w:snapToGrid w:val="0"/>
                <w:color w:val="000000" w:themeColor="text1"/>
                <w:spacing w:val="6"/>
                <w:kern w:val="0"/>
                <w:sz w:val="24"/>
                <w:szCs w:val="24"/>
              </w:rPr>
              <w:t>意外增强</w:t>
            </w:r>
            <w:proofErr w:type="gramEnd"/>
            <w:r>
              <w:rPr>
                <w:rFonts w:ascii="仿宋" w:eastAsia="仿宋" w:hAnsi="仿宋" w:cs="仿宋" w:hint="eastAsia"/>
                <w:bCs/>
                <w:snapToGrid w:val="0"/>
                <w:color w:val="000000" w:themeColor="text1"/>
                <w:spacing w:val="6"/>
                <w:kern w:val="0"/>
                <w:sz w:val="24"/>
                <w:szCs w:val="24"/>
              </w:rPr>
              <w:t>的减</w:t>
            </w:r>
            <w:proofErr w:type="gramStart"/>
            <w:r>
              <w:rPr>
                <w:rFonts w:ascii="仿宋" w:eastAsia="仿宋" w:hAnsi="仿宋" w:cs="仿宋" w:hint="eastAsia"/>
                <w:bCs/>
                <w:snapToGrid w:val="0"/>
                <w:color w:val="000000" w:themeColor="text1"/>
                <w:spacing w:val="6"/>
                <w:kern w:val="0"/>
                <w:sz w:val="24"/>
                <w:szCs w:val="24"/>
              </w:rPr>
              <w:t>排力度</w:t>
            </w:r>
            <w:proofErr w:type="gramEnd"/>
            <w:r>
              <w:rPr>
                <w:rFonts w:ascii="仿宋" w:eastAsia="仿宋" w:hAnsi="仿宋" w:cs="仿宋" w:hint="eastAsia"/>
                <w:bCs/>
                <w:snapToGrid w:val="0"/>
                <w:color w:val="000000" w:themeColor="text1"/>
                <w:spacing w:val="6"/>
                <w:kern w:val="0"/>
                <w:sz w:val="24"/>
                <w:szCs w:val="24"/>
              </w:rPr>
              <w:t>与长期目标保持一致，以66%的概率在2100年实现全球升温控制在1.5°C以内（2011-2100年二氧化碳排放总量为400GtCO2）</w:t>
            </w:r>
          </w:p>
        </w:tc>
      </w:tr>
    </w:tbl>
    <w:p w:rsidR="00D00D0B" w:rsidRDefault="00FD0360">
      <w:pPr>
        <w:widowControl/>
        <w:kinsoku w:val="0"/>
        <w:autoSpaceDE w:val="0"/>
        <w:autoSpaceDN w:val="0"/>
        <w:adjustRightInd w:val="0"/>
        <w:snapToGrid w:val="0"/>
        <w:spacing w:line="240" w:lineRule="auto"/>
        <w:ind w:firstLine="444"/>
        <w:textAlignment w:val="baseline"/>
        <w:rPr>
          <w:rFonts w:ascii="仿宋" w:eastAsia="仿宋" w:hAnsi="仿宋" w:cs="仿宋"/>
          <w:bCs/>
          <w:snapToGrid w:val="0"/>
          <w:color w:val="0070C0"/>
          <w:spacing w:val="6"/>
          <w:kern w:val="0"/>
          <w:sz w:val="21"/>
          <w:szCs w:val="21"/>
        </w:rPr>
      </w:pPr>
      <w:r>
        <w:rPr>
          <w:rFonts w:ascii="仿宋" w:eastAsia="仿宋" w:hAnsi="仿宋" w:cs="仿宋" w:hint="eastAsia"/>
          <w:bCs/>
          <w:snapToGrid w:val="0"/>
          <w:color w:val="0070C0"/>
          <w:spacing w:val="6"/>
          <w:kern w:val="0"/>
          <w:sz w:val="21"/>
          <w:szCs w:val="21"/>
        </w:rPr>
        <w:t>AIM/CGE 2.0：亚太综合模型（Asia-Pacific Integrated Model）中可计算一般均衡（Computable General Equilibrium）模型的一个版本，是自下而上模型(Bottom-</w:t>
      </w:r>
      <w:proofErr w:type="spellStart"/>
      <w:r>
        <w:rPr>
          <w:rFonts w:ascii="仿宋" w:eastAsia="仿宋" w:hAnsi="仿宋" w:cs="仿宋" w:hint="eastAsia"/>
          <w:bCs/>
          <w:snapToGrid w:val="0"/>
          <w:color w:val="0070C0"/>
          <w:spacing w:val="6"/>
          <w:kern w:val="0"/>
          <w:sz w:val="21"/>
          <w:szCs w:val="21"/>
        </w:rPr>
        <w:t>upModel</w:t>
      </w:r>
      <w:proofErr w:type="spellEnd"/>
      <w:r>
        <w:rPr>
          <w:rFonts w:ascii="仿宋" w:eastAsia="仿宋" w:hAnsi="仿宋" w:cs="仿宋" w:hint="eastAsia"/>
          <w:bCs/>
          <w:snapToGrid w:val="0"/>
          <w:color w:val="0070C0"/>
          <w:spacing w:val="6"/>
          <w:kern w:val="0"/>
          <w:sz w:val="21"/>
          <w:szCs w:val="21"/>
        </w:rPr>
        <w:t>)。AIM/CGE属于可计算一般均衡模型（CGE），主要用于模拟气候政策对经济系统的综合影响。</w:t>
      </w:r>
    </w:p>
    <w:p w:rsidR="00D00D0B" w:rsidRDefault="00FD0360" w:rsidP="00DB75FB">
      <w:pPr>
        <w:pStyle w:val="3"/>
        <w:spacing w:before="156" w:after="62"/>
      </w:pPr>
      <w:r>
        <w:rPr>
          <w:rFonts w:hint="eastAsia"/>
        </w:rPr>
        <w:t xml:space="preserve">3.2.2 </w:t>
      </w:r>
      <w:proofErr w:type="gramStart"/>
      <w:r>
        <w:rPr>
          <w:rFonts w:hint="eastAsia"/>
        </w:rPr>
        <w:t>碳价预测</w:t>
      </w:r>
      <w:proofErr w:type="gramEnd"/>
    </w:p>
    <w:p w:rsidR="00D00D0B" w:rsidRDefault="00FD0360">
      <w:pPr>
        <w:widowControl/>
        <w:kinsoku w:val="0"/>
        <w:autoSpaceDE w:val="0"/>
        <w:autoSpaceDN w:val="0"/>
        <w:adjustRightInd w:val="0"/>
        <w:snapToGrid w:val="0"/>
        <w:spacing w:line="240" w:lineRule="auto"/>
        <w:ind w:firstLine="584"/>
        <w:textAlignment w:val="baseline"/>
        <w:rPr>
          <w:rFonts w:ascii="仿宋" w:eastAsia="仿宋" w:hAnsi="仿宋" w:cs="仿宋"/>
          <w:bCs/>
          <w:snapToGrid w:val="0"/>
          <w:color w:val="000000" w:themeColor="text1"/>
          <w:spacing w:val="6"/>
          <w:kern w:val="0"/>
          <w:sz w:val="28"/>
          <w:szCs w:val="28"/>
        </w:rPr>
      </w:pPr>
      <w:r>
        <w:rPr>
          <w:rFonts w:ascii="仿宋" w:eastAsia="仿宋" w:hAnsi="仿宋" w:cs="仿宋" w:hint="eastAsia"/>
          <w:bCs/>
          <w:snapToGrid w:val="0"/>
          <w:color w:val="000000" w:themeColor="text1"/>
          <w:spacing w:val="6"/>
          <w:kern w:val="0"/>
          <w:sz w:val="28"/>
          <w:szCs w:val="28"/>
        </w:rPr>
        <w:t>针对</w:t>
      </w:r>
      <w:proofErr w:type="gramStart"/>
      <w:r>
        <w:rPr>
          <w:rFonts w:ascii="仿宋" w:eastAsia="仿宋" w:hAnsi="仿宋" w:cs="仿宋" w:hint="eastAsia"/>
          <w:bCs/>
          <w:snapToGrid w:val="0"/>
          <w:color w:val="000000" w:themeColor="text1"/>
          <w:spacing w:val="6"/>
          <w:kern w:val="0"/>
          <w:sz w:val="28"/>
          <w:szCs w:val="28"/>
        </w:rPr>
        <w:t>碳价格</w:t>
      </w:r>
      <w:proofErr w:type="gramEnd"/>
      <w:r>
        <w:rPr>
          <w:rFonts w:ascii="仿宋" w:eastAsia="仿宋" w:hAnsi="仿宋" w:cs="仿宋" w:hint="eastAsia"/>
          <w:bCs/>
          <w:snapToGrid w:val="0"/>
          <w:color w:val="000000" w:themeColor="text1"/>
          <w:spacing w:val="6"/>
          <w:kern w:val="0"/>
          <w:sz w:val="28"/>
          <w:szCs w:val="28"/>
        </w:rPr>
        <w:t>冲击问题，参考了政府间气候变化专门委员会（IPCC）采用的</w:t>
      </w:r>
      <w:proofErr w:type="gramStart"/>
      <w:r>
        <w:rPr>
          <w:rFonts w:ascii="仿宋" w:eastAsia="仿宋" w:hAnsi="仿宋" w:cs="仿宋" w:hint="eastAsia"/>
          <w:bCs/>
          <w:snapToGrid w:val="0"/>
          <w:color w:val="000000" w:themeColor="text1"/>
          <w:spacing w:val="6"/>
          <w:kern w:val="0"/>
          <w:sz w:val="28"/>
          <w:szCs w:val="28"/>
        </w:rPr>
        <w:t>碳价格</w:t>
      </w:r>
      <w:proofErr w:type="gramEnd"/>
      <w:r>
        <w:rPr>
          <w:rFonts w:ascii="仿宋" w:eastAsia="仿宋" w:hAnsi="仿宋" w:cs="仿宋" w:hint="eastAsia"/>
          <w:bCs/>
          <w:snapToGrid w:val="0"/>
          <w:color w:val="000000" w:themeColor="text1"/>
          <w:spacing w:val="6"/>
          <w:kern w:val="0"/>
          <w:sz w:val="28"/>
          <w:szCs w:val="28"/>
        </w:rPr>
        <w:t>预测模型，采用碳的社会成本由额外排放一吨CO2所造成的经济福利损失来衡量碳价格，并将预测价格利用折现法拆分至每期的预测价格。同时，结合国内</w:t>
      </w:r>
      <w:proofErr w:type="gramStart"/>
      <w:r>
        <w:rPr>
          <w:rFonts w:ascii="仿宋" w:eastAsia="仿宋" w:hAnsi="仿宋" w:cs="仿宋" w:hint="eastAsia"/>
          <w:bCs/>
          <w:snapToGrid w:val="0"/>
          <w:color w:val="000000" w:themeColor="text1"/>
          <w:spacing w:val="6"/>
          <w:kern w:val="0"/>
          <w:sz w:val="28"/>
          <w:szCs w:val="28"/>
        </w:rPr>
        <w:t>碳市场</w:t>
      </w:r>
      <w:proofErr w:type="gramEnd"/>
      <w:r>
        <w:rPr>
          <w:rFonts w:ascii="仿宋" w:eastAsia="仿宋" w:hAnsi="仿宋" w:cs="仿宋" w:hint="eastAsia"/>
          <w:bCs/>
          <w:snapToGrid w:val="0"/>
          <w:color w:val="000000" w:themeColor="text1"/>
          <w:spacing w:val="6"/>
          <w:kern w:val="0"/>
          <w:sz w:val="28"/>
          <w:szCs w:val="28"/>
        </w:rPr>
        <w:t>的特点对预测的</w:t>
      </w:r>
      <w:proofErr w:type="gramStart"/>
      <w:r>
        <w:rPr>
          <w:rFonts w:ascii="仿宋" w:eastAsia="仿宋" w:hAnsi="仿宋" w:cs="仿宋" w:hint="eastAsia"/>
          <w:bCs/>
          <w:snapToGrid w:val="0"/>
          <w:color w:val="000000" w:themeColor="text1"/>
          <w:spacing w:val="6"/>
          <w:kern w:val="0"/>
          <w:sz w:val="28"/>
          <w:szCs w:val="28"/>
        </w:rPr>
        <w:t>碳价格</w:t>
      </w:r>
      <w:proofErr w:type="gramEnd"/>
      <w:r>
        <w:rPr>
          <w:rFonts w:ascii="仿宋" w:eastAsia="仿宋" w:hAnsi="仿宋" w:cs="仿宋" w:hint="eastAsia"/>
          <w:bCs/>
          <w:snapToGrid w:val="0"/>
          <w:color w:val="000000" w:themeColor="text1"/>
          <w:spacing w:val="6"/>
          <w:kern w:val="0"/>
          <w:sz w:val="28"/>
          <w:szCs w:val="28"/>
        </w:rPr>
        <w:t>进行了适应性调整。</w:t>
      </w:r>
    </w:p>
    <w:p w:rsidR="00D00D0B" w:rsidRDefault="00FD0360">
      <w:pPr>
        <w:ind w:firstLineChars="0" w:firstLine="0"/>
        <w:jc w:val="center"/>
        <w:rPr>
          <w:rFonts w:ascii="黑体" w:eastAsia="黑体" w:hAnsi="黑体" w:cs="黑体"/>
          <w:sz w:val="24"/>
          <w:szCs w:val="24"/>
        </w:rPr>
      </w:pPr>
      <w:r>
        <w:rPr>
          <w:rFonts w:ascii="黑体" w:eastAsia="黑体" w:hAnsi="黑体" w:cs="黑体" w:hint="eastAsia"/>
          <w:sz w:val="24"/>
          <w:szCs w:val="24"/>
        </w:rPr>
        <w:t>表2 AIM/CGE 2.0（有序转型）</w:t>
      </w:r>
      <w:proofErr w:type="gramStart"/>
      <w:r>
        <w:rPr>
          <w:rFonts w:ascii="黑体" w:eastAsia="黑体" w:hAnsi="黑体" w:cs="黑体" w:hint="eastAsia"/>
          <w:sz w:val="24"/>
          <w:szCs w:val="24"/>
        </w:rPr>
        <w:t>碳价预测</w:t>
      </w:r>
      <w:proofErr w:type="gramEnd"/>
      <w:r>
        <w:rPr>
          <w:rFonts w:ascii="黑体" w:eastAsia="黑体" w:hAnsi="黑体" w:cs="黑体" w:hint="eastAsia"/>
          <w:sz w:val="24"/>
          <w:szCs w:val="24"/>
        </w:rPr>
        <w:t>（2024～2030）</w:t>
      </w:r>
    </w:p>
    <w:tbl>
      <w:tblPr>
        <w:tblW w:w="9346" w:type="dxa"/>
        <w:tblInd w:w="88" w:type="dxa"/>
        <w:tblLook w:val="04A0"/>
      </w:tblPr>
      <w:tblGrid>
        <w:gridCol w:w="2995"/>
        <w:gridCol w:w="847"/>
        <w:gridCol w:w="973"/>
        <w:gridCol w:w="973"/>
        <w:gridCol w:w="973"/>
        <w:gridCol w:w="973"/>
        <w:gridCol w:w="973"/>
        <w:gridCol w:w="973"/>
      </w:tblGrid>
      <w:tr w:rsidR="00D00D0B">
        <w:trPr>
          <w:trHeight w:val="243"/>
        </w:trPr>
        <w:tc>
          <w:tcPr>
            <w:tcW w:w="2995" w:type="dxa"/>
            <w:tcBorders>
              <w:top w:val="single" w:sz="4" w:space="0" w:color="000000"/>
              <w:left w:val="single" w:sz="4" w:space="0" w:color="000000"/>
              <w:bottom w:val="single" w:sz="4" w:space="0" w:color="000000"/>
              <w:right w:val="single" w:sz="4" w:space="0" w:color="000000"/>
            </w:tcBorders>
            <w:shd w:val="clear" w:color="auto" w:fill="E2EFD9" w:themeFill="accent6" w:themeFillTint="32"/>
            <w:noWrap/>
          </w:tcPr>
          <w:p w:rsidR="00D00D0B" w:rsidRDefault="00FD0360">
            <w:pPr>
              <w:widowControl/>
              <w:kinsoku w:val="0"/>
              <w:autoSpaceDE w:val="0"/>
              <w:autoSpaceDN w:val="0"/>
              <w:adjustRightInd w:val="0"/>
              <w:snapToGrid w:val="0"/>
              <w:spacing w:line="240" w:lineRule="auto"/>
              <w:ind w:firstLineChars="0" w:firstLine="0"/>
              <w:jc w:val="center"/>
              <w:textAlignment w:val="baseline"/>
              <w:rPr>
                <w:rFonts w:ascii="黑体" w:eastAsia="黑体" w:hAnsi="黑体" w:cs="黑体"/>
                <w:bCs/>
                <w:snapToGrid w:val="0"/>
                <w:color w:val="000000" w:themeColor="text1"/>
                <w:spacing w:val="6"/>
                <w:kern w:val="0"/>
                <w:sz w:val="24"/>
                <w:szCs w:val="24"/>
              </w:rPr>
            </w:pPr>
            <w:r>
              <w:rPr>
                <w:rFonts w:ascii="黑体" w:eastAsia="黑体" w:hAnsi="黑体" w:cs="黑体" w:hint="eastAsia"/>
                <w:bCs/>
                <w:snapToGrid w:val="0"/>
                <w:color w:val="000000" w:themeColor="text1"/>
                <w:spacing w:val="6"/>
                <w:kern w:val="0"/>
                <w:sz w:val="24"/>
                <w:szCs w:val="24"/>
              </w:rPr>
              <w:t>情景设定</w:t>
            </w:r>
          </w:p>
        </w:tc>
        <w:tc>
          <w:tcPr>
            <w:tcW w:w="799" w:type="dxa"/>
            <w:tcBorders>
              <w:top w:val="single" w:sz="4" w:space="0" w:color="000000"/>
              <w:left w:val="single" w:sz="4" w:space="0" w:color="000000"/>
              <w:bottom w:val="single" w:sz="4" w:space="0" w:color="000000"/>
              <w:right w:val="single" w:sz="4" w:space="0" w:color="000000"/>
            </w:tcBorders>
            <w:shd w:val="clear" w:color="auto" w:fill="E2EFD9" w:themeFill="accent6" w:themeFillTint="32"/>
            <w:noWrap/>
          </w:tcPr>
          <w:p w:rsidR="00D00D0B" w:rsidRDefault="00FD0360">
            <w:pPr>
              <w:widowControl/>
              <w:kinsoku w:val="0"/>
              <w:autoSpaceDE w:val="0"/>
              <w:autoSpaceDN w:val="0"/>
              <w:adjustRightInd w:val="0"/>
              <w:snapToGrid w:val="0"/>
              <w:spacing w:line="240" w:lineRule="auto"/>
              <w:ind w:firstLineChars="0" w:firstLine="0"/>
              <w:jc w:val="center"/>
              <w:textAlignment w:val="baseline"/>
              <w:rPr>
                <w:rFonts w:ascii="黑体" w:eastAsia="黑体" w:hAnsi="黑体" w:cs="黑体"/>
                <w:bCs/>
                <w:snapToGrid w:val="0"/>
                <w:color w:val="000000" w:themeColor="text1"/>
                <w:spacing w:val="6"/>
                <w:kern w:val="0"/>
                <w:sz w:val="24"/>
                <w:szCs w:val="24"/>
              </w:rPr>
            </w:pPr>
            <w:r>
              <w:rPr>
                <w:rFonts w:ascii="黑体" w:eastAsia="黑体" w:hAnsi="黑体" w:cs="黑体" w:hint="eastAsia"/>
                <w:bCs/>
                <w:snapToGrid w:val="0"/>
                <w:color w:val="000000" w:themeColor="text1"/>
                <w:spacing w:val="6"/>
                <w:kern w:val="0"/>
                <w:sz w:val="24"/>
                <w:szCs w:val="24"/>
              </w:rPr>
              <w:t>2024</w:t>
            </w:r>
          </w:p>
        </w:tc>
        <w:tc>
          <w:tcPr>
            <w:tcW w:w="915" w:type="dxa"/>
            <w:tcBorders>
              <w:top w:val="single" w:sz="4" w:space="0" w:color="000000"/>
              <w:left w:val="single" w:sz="4" w:space="0" w:color="000000"/>
              <w:bottom w:val="single" w:sz="4" w:space="0" w:color="000000"/>
              <w:right w:val="single" w:sz="4" w:space="0" w:color="000000"/>
            </w:tcBorders>
            <w:shd w:val="clear" w:color="auto" w:fill="E2EFD9" w:themeFill="accent6" w:themeFillTint="32"/>
            <w:noWrap/>
          </w:tcPr>
          <w:p w:rsidR="00D00D0B" w:rsidRDefault="00FD0360">
            <w:pPr>
              <w:widowControl/>
              <w:kinsoku w:val="0"/>
              <w:autoSpaceDE w:val="0"/>
              <w:autoSpaceDN w:val="0"/>
              <w:adjustRightInd w:val="0"/>
              <w:snapToGrid w:val="0"/>
              <w:spacing w:line="240" w:lineRule="auto"/>
              <w:ind w:firstLineChars="0" w:firstLine="0"/>
              <w:jc w:val="center"/>
              <w:textAlignment w:val="baseline"/>
              <w:rPr>
                <w:rFonts w:ascii="黑体" w:eastAsia="黑体" w:hAnsi="黑体" w:cs="黑体"/>
                <w:bCs/>
                <w:snapToGrid w:val="0"/>
                <w:color w:val="000000" w:themeColor="text1"/>
                <w:spacing w:val="6"/>
                <w:kern w:val="0"/>
                <w:sz w:val="24"/>
                <w:szCs w:val="24"/>
              </w:rPr>
            </w:pPr>
            <w:r>
              <w:rPr>
                <w:rFonts w:ascii="黑体" w:eastAsia="黑体" w:hAnsi="黑体" w:cs="黑体" w:hint="eastAsia"/>
                <w:bCs/>
                <w:snapToGrid w:val="0"/>
                <w:color w:val="000000" w:themeColor="text1"/>
                <w:spacing w:val="6"/>
                <w:kern w:val="0"/>
                <w:sz w:val="24"/>
                <w:szCs w:val="24"/>
              </w:rPr>
              <w:t>2025</w:t>
            </w:r>
          </w:p>
        </w:tc>
        <w:tc>
          <w:tcPr>
            <w:tcW w:w="915" w:type="dxa"/>
            <w:tcBorders>
              <w:top w:val="single" w:sz="4" w:space="0" w:color="000000"/>
              <w:left w:val="single" w:sz="4" w:space="0" w:color="000000"/>
              <w:bottom w:val="single" w:sz="4" w:space="0" w:color="000000"/>
              <w:right w:val="single" w:sz="4" w:space="0" w:color="000000"/>
            </w:tcBorders>
            <w:shd w:val="clear" w:color="auto" w:fill="E2EFD9" w:themeFill="accent6" w:themeFillTint="32"/>
            <w:noWrap/>
          </w:tcPr>
          <w:p w:rsidR="00D00D0B" w:rsidRDefault="00FD0360">
            <w:pPr>
              <w:widowControl/>
              <w:kinsoku w:val="0"/>
              <w:autoSpaceDE w:val="0"/>
              <w:autoSpaceDN w:val="0"/>
              <w:adjustRightInd w:val="0"/>
              <w:snapToGrid w:val="0"/>
              <w:spacing w:line="240" w:lineRule="auto"/>
              <w:ind w:firstLineChars="0" w:firstLine="0"/>
              <w:jc w:val="center"/>
              <w:textAlignment w:val="baseline"/>
              <w:rPr>
                <w:rFonts w:ascii="黑体" w:eastAsia="黑体" w:hAnsi="黑体" w:cs="黑体"/>
                <w:bCs/>
                <w:snapToGrid w:val="0"/>
                <w:color w:val="000000" w:themeColor="text1"/>
                <w:spacing w:val="6"/>
                <w:kern w:val="0"/>
                <w:sz w:val="24"/>
                <w:szCs w:val="24"/>
              </w:rPr>
            </w:pPr>
            <w:r>
              <w:rPr>
                <w:rFonts w:ascii="黑体" w:eastAsia="黑体" w:hAnsi="黑体" w:cs="黑体" w:hint="eastAsia"/>
                <w:bCs/>
                <w:snapToGrid w:val="0"/>
                <w:color w:val="000000" w:themeColor="text1"/>
                <w:spacing w:val="6"/>
                <w:kern w:val="0"/>
                <w:sz w:val="24"/>
                <w:szCs w:val="24"/>
              </w:rPr>
              <w:t>2026</w:t>
            </w:r>
          </w:p>
        </w:tc>
        <w:tc>
          <w:tcPr>
            <w:tcW w:w="936" w:type="dxa"/>
            <w:tcBorders>
              <w:top w:val="single" w:sz="4" w:space="0" w:color="000000"/>
              <w:left w:val="single" w:sz="4" w:space="0" w:color="000000"/>
              <w:bottom w:val="single" w:sz="4" w:space="0" w:color="000000"/>
              <w:right w:val="single" w:sz="4" w:space="0" w:color="000000"/>
            </w:tcBorders>
            <w:shd w:val="clear" w:color="auto" w:fill="E2EFD9" w:themeFill="accent6" w:themeFillTint="32"/>
            <w:noWrap/>
          </w:tcPr>
          <w:p w:rsidR="00D00D0B" w:rsidRDefault="00FD0360">
            <w:pPr>
              <w:widowControl/>
              <w:kinsoku w:val="0"/>
              <w:autoSpaceDE w:val="0"/>
              <w:autoSpaceDN w:val="0"/>
              <w:adjustRightInd w:val="0"/>
              <w:snapToGrid w:val="0"/>
              <w:spacing w:line="240" w:lineRule="auto"/>
              <w:ind w:firstLineChars="0" w:firstLine="0"/>
              <w:jc w:val="center"/>
              <w:textAlignment w:val="baseline"/>
              <w:rPr>
                <w:rFonts w:ascii="黑体" w:eastAsia="黑体" w:hAnsi="黑体" w:cs="黑体"/>
                <w:bCs/>
                <w:snapToGrid w:val="0"/>
                <w:color w:val="000000" w:themeColor="text1"/>
                <w:spacing w:val="6"/>
                <w:kern w:val="0"/>
                <w:sz w:val="24"/>
                <w:szCs w:val="24"/>
              </w:rPr>
            </w:pPr>
            <w:r>
              <w:rPr>
                <w:rFonts w:ascii="黑体" w:eastAsia="黑体" w:hAnsi="黑体" w:cs="黑体" w:hint="eastAsia"/>
                <w:bCs/>
                <w:snapToGrid w:val="0"/>
                <w:color w:val="000000" w:themeColor="text1"/>
                <w:spacing w:val="6"/>
                <w:kern w:val="0"/>
                <w:sz w:val="24"/>
                <w:szCs w:val="24"/>
              </w:rPr>
              <w:t>2027</w:t>
            </w:r>
          </w:p>
        </w:tc>
        <w:tc>
          <w:tcPr>
            <w:tcW w:w="931" w:type="dxa"/>
            <w:tcBorders>
              <w:top w:val="single" w:sz="4" w:space="0" w:color="000000"/>
              <w:left w:val="single" w:sz="4" w:space="0" w:color="000000"/>
              <w:bottom w:val="single" w:sz="4" w:space="0" w:color="000000"/>
              <w:right w:val="single" w:sz="4" w:space="0" w:color="000000"/>
            </w:tcBorders>
            <w:shd w:val="clear" w:color="auto" w:fill="E2EFD9" w:themeFill="accent6" w:themeFillTint="32"/>
            <w:noWrap/>
          </w:tcPr>
          <w:p w:rsidR="00D00D0B" w:rsidRDefault="00FD0360">
            <w:pPr>
              <w:widowControl/>
              <w:kinsoku w:val="0"/>
              <w:autoSpaceDE w:val="0"/>
              <w:autoSpaceDN w:val="0"/>
              <w:adjustRightInd w:val="0"/>
              <w:snapToGrid w:val="0"/>
              <w:spacing w:line="240" w:lineRule="auto"/>
              <w:ind w:firstLineChars="0" w:firstLine="0"/>
              <w:jc w:val="center"/>
              <w:textAlignment w:val="baseline"/>
              <w:rPr>
                <w:rFonts w:ascii="黑体" w:eastAsia="黑体" w:hAnsi="黑体" w:cs="黑体"/>
                <w:bCs/>
                <w:snapToGrid w:val="0"/>
                <w:color w:val="000000" w:themeColor="text1"/>
                <w:spacing w:val="6"/>
                <w:kern w:val="0"/>
                <w:sz w:val="24"/>
                <w:szCs w:val="24"/>
              </w:rPr>
            </w:pPr>
            <w:r>
              <w:rPr>
                <w:rFonts w:ascii="黑体" w:eastAsia="黑体" w:hAnsi="黑体" w:cs="黑体" w:hint="eastAsia"/>
                <w:bCs/>
                <w:snapToGrid w:val="0"/>
                <w:color w:val="000000" w:themeColor="text1"/>
                <w:spacing w:val="6"/>
                <w:kern w:val="0"/>
                <w:sz w:val="24"/>
                <w:szCs w:val="24"/>
              </w:rPr>
              <w:t>2028</w:t>
            </w:r>
          </w:p>
        </w:tc>
        <w:tc>
          <w:tcPr>
            <w:tcW w:w="928" w:type="dxa"/>
            <w:tcBorders>
              <w:top w:val="single" w:sz="4" w:space="0" w:color="000000"/>
              <w:left w:val="single" w:sz="4" w:space="0" w:color="000000"/>
              <w:bottom w:val="single" w:sz="4" w:space="0" w:color="000000"/>
              <w:right w:val="single" w:sz="4" w:space="0" w:color="000000"/>
            </w:tcBorders>
            <w:shd w:val="clear" w:color="auto" w:fill="E2EFD9" w:themeFill="accent6" w:themeFillTint="32"/>
            <w:noWrap/>
          </w:tcPr>
          <w:p w:rsidR="00D00D0B" w:rsidRDefault="00FD0360">
            <w:pPr>
              <w:widowControl/>
              <w:kinsoku w:val="0"/>
              <w:autoSpaceDE w:val="0"/>
              <w:autoSpaceDN w:val="0"/>
              <w:adjustRightInd w:val="0"/>
              <w:snapToGrid w:val="0"/>
              <w:spacing w:line="240" w:lineRule="auto"/>
              <w:ind w:firstLineChars="0" w:firstLine="0"/>
              <w:jc w:val="center"/>
              <w:textAlignment w:val="baseline"/>
              <w:rPr>
                <w:rFonts w:ascii="黑体" w:eastAsia="黑体" w:hAnsi="黑体" w:cs="黑体"/>
                <w:bCs/>
                <w:snapToGrid w:val="0"/>
                <w:color w:val="000000" w:themeColor="text1"/>
                <w:spacing w:val="6"/>
                <w:kern w:val="0"/>
                <w:sz w:val="24"/>
                <w:szCs w:val="24"/>
              </w:rPr>
            </w:pPr>
            <w:r>
              <w:rPr>
                <w:rFonts w:ascii="黑体" w:eastAsia="黑体" w:hAnsi="黑体" w:cs="黑体" w:hint="eastAsia"/>
                <w:bCs/>
                <w:snapToGrid w:val="0"/>
                <w:color w:val="000000" w:themeColor="text1"/>
                <w:spacing w:val="6"/>
                <w:kern w:val="0"/>
                <w:sz w:val="24"/>
                <w:szCs w:val="24"/>
              </w:rPr>
              <w:t>2029</w:t>
            </w:r>
          </w:p>
        </w:tc>
        <w:tc>
          <w:tcPr>
            <w:tcW w:w="927" w:type="dxa"/>
            <w:tcBorders>
              <w:top w:val="single" w:sz="4" w:space="0" w:color="000000"/>
              <w:left w:val="single" w:sz="4" w:space="0" w:color="000000"/>
              <w:bottom w:val="single" w:sz="4" w:space="0" w:color="000000"/>
              <w:right w:val="single" w:sz="4" w:space="0" w:color="000000"/>
            </w:tcBorders>
            <w:shd w:val="clear" w:color="auto" w:fill="E2EFD9" w:themeFill="accent6" w:themeFillTint="32"/>
            <w:noWrap/>
          </w:tcPr>
          <w:p w:rsidR="00D00D0B" w:rsidRDefault="00FD0360">
            <w:pPr>
              <w:widowControl/>
              <w:kinsoku w:val="0"/>
              <w:autoSpaceDE w:val="0"/>
              <w:autoSpaceDN w:val="0"/>
              <w:adjustRightInd w:val="0"/>
              <w:snapToGrid w:val="0"/>
              <w:spacing w:line="240" w:lineRule="auto"/>
              <w:ind w:firstLineChars="0" w:firstLine="0"/>
              <w:jc w:val="center"/>
              <w:textAlignment w:val="baseline"/>
              <w:rPr>
                <w:rFonts w:ascii="黑体" w:eastAsia="黑体" w:hAnsi="黑体" w:cs="黑体"/>
                <w:bCs/>
                <w:snapToGrid w:val="0"/>
                <w:color w:val="000000" w:themeColor="text1"/>
                <w:spacing w:val="6"/>
                <w:kern w:val="0"/>
                <w:sz w:val="24"/>
                <w:szCs w:val="24"/>
              </w:rPr>
            </w:pPr>
            <w:r>
              <w:rPr>
                <w:rFonts w:ascii="黑体" w:eastAsia="黑体" w:hAnsi="黑体" w:cs="黑体" w:hint="eastAsia"/>
                <w:bCs/>
                <w:snapToGrid w:val="0"/>
                <w:color w:val="000000" w:themeColor="text1"/>
                <w:spacing w:val="6"/>
                <w:kern w:val="0"/>
                <w:sz w:val="24"/>
                <w:szCs w:val="24"/>
              </w:rPr>
              <w:t>2030</w:t>
            </w:r>
          </w:p>
        </w:tc>
      </w:tr>
      <w:tr w:rsidR="00D00D0B">
        <w:trPr>
          <w:trHeight w:val="439"/>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bottom"/>
          </w:tcPr>
          <w:p w:rsidR="00D00D0B" w:rsidRDefault="00FD0360">
            <w:pPr>
              <w:widowControl/>
              <w:kinsoku w:val="0"/>
              <w:autoSpaceDE w:val="0"/>
              <w:autoSpaceDN w:val="0"/>
              <w:adjustRightInd w:val="0"/>
              <w:snapToGrid w:val="0"/>
              <w:spacing w:line="240" w:lineRule="auto"/>
              <w:ind w:firstLineChars="0" w:firstLine="0"/>
              <w:textAlignment w:val="baseline"/>
              <w:rPr>
                <w:rFonts w:ascii="仿宋" w:eastAsia="仿宋" w:hAnsi="仿宋" w:cs="仿宋"/>
                <w:bCs/>
                <w:snapToGrid w:val="0"/>
                <w:color w:val="000000" w:themeColor="text1"/>
                <w:spacing w:val="6"/>
                <w:kern w:val="0"/>
                <w:sz w:val="24"/>
                <w:szCs w:val="24"/>
              </w:rPr>
            </w:pPr>
            <w:r>
              <w:rPr>
                <w:rFonts w:ascii="仿宋" w:eastAsia="仿宋" w:hAnsi="仿宋" w:cs="仿宋" w:hint="eastAsia"/>
                <w:bCs/>
                <w:snapToGrid w:val="0"/>
                <w:color w:val="000000" w:themeColor="text1"/>
                <w:spacing w:val="6"/>
                <w:kern w:val="0"/>
                <w:sz w:val="24"/>
                <w:szCs w:val="24"/>
              </w:rPr>
              <w:t>ADVANCE_2020_1.5C-2100</w:t>
            </w:r>
          </w:p>
          <w:p w:rsidR="00D00D0B" w:rsidRDefault="00FD0360">
            <w:pPr>
              <w:widowControl/>
              <w:kinsoku w:val="0"/>
              <w:autoSpaceDE w:val="0"/>
              <w:autoSpaceDN w:val="0"/>
              <w:adjustRightInd w:val="0"/>
              <w:snapToGrid w:val="0"/>
              <w:spacing w:line="240" w:lineRule="auto"/>
              <w:ind w:firstLineChars="0" w:firstLine="0"/>
              <w:textAlignment w:val="baseline"/>
              <w:rPr>
                <w:rFonts w:ascii="仿宋" w:eastAsia="仿宋" w:hAnsi="仿宋" w:cs="仿宋"/>
                <w:bCs/>
                <w:snapToGrid w:val="0"/>
                <w:color w:val="000000" w:themeColor="text1"/>
                <w:spacing w:val="6"/>
                <w:kern w:val="0"/>
                <w:sz w:val="24"/>
                <w:szCs w:val="24"/>
              </w:rPr>
            </w:pPr>
            <w:r>
              <w:rPr>
                <w:rFonts w:ascii="仿宋" w:eastAsia="仿宋" w:hAnsi="仿宋" w:cs="仿宋" w:hint="eastAsia"/>
                <w:bCs/>
                <w:snapToGrid w:val="0"/>
                <w:color w:val="000000" w:themeColor="text1"/>
                <w:spacing w:val="6"/>
                <w:kern w:val="0"/>
                <w:sz w:val="24"/>
                <w:szCs w:val="24"/>
              </w:rPr>
              <w:t>（有序转型）</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bottom"/>
          </w:tcPr>
          <w:p w:rsidR="00D00D0B" w:rsidRDefault="00FD0360">
            <w:pPr>
              <w:widowControl/>
              <w:kinsoku w:val="0"/>
              <w:autoSpaceDE w:val="0"/>
              <w:autoSpaceDN w:val="0"/>
              <w:adjustRightInd w:val="0"/>
              <w:snapToGrid w:val="0"/>
              <w:spacing w:line="240" w:lineRule="auto"/>
              <w:ind w:firstLineChars="0" w:firstLine="0"/>
              <w:textAlignment w:val="baseline"/>
              <w:rPr>
                <w:rFonts w:ascii="仿宋" w:eastAsia="仿宋" w:hAnsi="仿宋" w:cs="仿宋"/>
                <w:bCs/>
                <w:snapToGrid w:val="0"/>
                <w:color w:val="000000" w:themeColor="text1"/>
                <w:spacing w:val="6"/>
                <w:kern w:val="0"/>
                <w:sz w:val="24"/>
                <w:szCs w:val="24"/>
              </w:rPr>
            </w:pPr>
            <w:r>
              <w:rPr>
                <w:rFonts w:ascii="仿宋" w:eastAsia="仿宋" w:hAnsi="仿宋" w:cs="仿宋" w:hint="eastAsia"/>
                <w:bCs/>
                <w:snapToGrid w:val="0"/>
                <w:color w:val="000000" w:themeColor="text1"/>
                <w:spacing w:val="6"/>
                <w:kern w:val="0"/>
                <w:sz w:val="24"/>
                <w:szCs w:val="24"/>
              </w:rPr>
              <w:t xml:space="preserve">91.74 </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bottom"/>
          </w:tcPr>
          <w:p w:rsidR="00D00D0B" w:rsidRDefault="00FD0360">
            <w:pPr>
              <w:widowControl/>
              <w:kinsoku w:val="0"/>
              <w:autoSpaceDE w:val="0"/>
              <w:autoSpaceDN w:val="0"/>
              <w:adjustRightInd w:val="0"/>
              <w:snapToGrid w:val="0"/>
              <w:spacing w:line="240" w:lineRule="auto"/>
              <w:ind w:firstLineChars="0" w:firstLine="0"/>
              <w:textAlignment w:val="baseline"/>
              <w:rPr>
                <w:rFonts w:ascii="仿宋" w:eastAsia="仿宋" w:hAnsi="仿宋" w:cs="仿宋"/>
                <w:bCs/>
                <w:snapToGrid w:val="0"/>
                <w:color w:val="000000" w:themeColor="text1"/>
                <w:spacing w:val="6"/>
                <w:kern w:val="0"/>
                <w:sz w:val="24"/>
                <w:szCs w:val="24"/>
              </w:rPr>
            </w:pPr>
            <w:r>
              <w:rPr>
                <w:rFonts w:ascii="仿宋" w:eastAsia="仿宋" w:hAnsi="仿宋" w:cs="仿宋" w:hint="eastAsia"/>
                <w:bCs/>
                <w:snapToGrid w:val="0"/>
                <w:color w:val="000000" w:themeColor="text1"/>
                <w:spacing w:val="6"/>
                <w:kern w:val="0"/>
                <w:sz w:val="24"/>
                <w:szCs w:val="24"/>
              </w:rPr>
              <w:t xml:space="preserve">113.23 </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bottom"/>
          </w:tcPr>
          <w:p w:rsidR="00D00D0B" w:rsidRDefault="00FD0360">
            <w:pPr>
              <w:widowControl/>
              <w:kinsoku w:val="0"/>
              <w:autoSpaceDE w:val="0"/>
              <w:autoSpaceDN w:val="0"/>
              <w:adjustRightInd w:val="0"/>
              <w:snapToGrid w:val="0"/>
              <w:spacing w:line="240" w:lineRule="auto"/>
              <w:ind w:firstLineChars="0" w:firstLine="0"/>
              <w:textAlignment w:val="baseline"/>
              <w:rPr>
                <w:rFonts w:ascii="仿宋" w:eastAsia="仿宋" w:hAnsi="仿宋" w:cs="仿宋"/>
                <w:bCs/>
                <w:snapToGrid w:val="0"/>
                <w:color w:val="000000" w:themeColor="text1"/>
                <w:spacing w:val="6"/>
                <w:kern w:val="0"/>
                <w:sz w:val="24"/>
                <w:szCs w:val="24"/>
              </w:rPr>
            </w:pPr>
            <w:r>
              <w:rPr>
                <w:rFonts w:ascii="仿宋" w:eastAsia="仿宋" w:hAnsi="仿宋" w:cs="仿宋" w:hint="eastAsia"/>
                <w:bCs/>
                <w:snapToGrid w:val="0"/>
                <w:color w:val="000000" w:themeColor="text1"/>
                <w:spacing w:val="6"/>
                <w:kern w:val="0"/>
                <w:sz w:val="24"/>
                <w:szCs w:val="24"/>
              </w:rPr>
              <w:t xml:space="preserve">161.68 </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bottom"/>
          </w:tcPr>
          <w:p w:rsidR="00D00D0B" w:rsidRDefault="00FD0360">
            <w:pPr>
              <w:widowControl/>
              <w:kinsoku w:val="0"/>
              <w:autoSpaceDE w:val="0"/>
              <w:autoSpaceDN w:val="0"/>
              <w:adjustRightInd w:val="0"/>
              <w:snapToGrid w:val="0"/>
              <w:spacing w:line="240" w:lineRule="auto"/>
              <w:ind w:firstLineChars="0" w:firstLine="0"/>
              <w:textAlignment w:val="baseline"/>
              <w:rPr>
                <w:rFonts w:ascii="仿宋" w:eastAsia="仿宋" w:hAnsi="仿宋" w:cs="仿宋"/>
                <w:bCs/>
                <w:snapToGrid w:val="0"/>
                <w:color w:val="000000" w:themeColor="text1"/>
                <w:spacing w:val="6"/>
                <w:kern w:val="0"/>
                <w:sz w:val="24"/>
                <w:szCs w:val="24"/>
              </w:rPr>
            </w:pPr>
            <w:r>
              <w:rPr>
                <w:rFonts w:ascii="仿宋" w:eastAsia="仿宋" w:hAnsi="仿宋" w:cs="仿宋" w:hint="eastAsia"/>
                <w:bCs/>
                <w:snapToGrid w:val="0"/>
                <w:color w:val="000000" w:themeColor="text1"/>
                <w:spacing w:val="6"/>
                <w:kern w:val="0"/>
                <w:sz w:val="24"/>
                <w:szCs w:val="24"/>
              </w:rPr>
              <w:t xml:space="preserve">210.13 </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bottom"/>
          </w:tcPr>
          <w:p w:rsidR="00D00D0B" w:rsidRDefault="00FD0360">
            <w:pPr>
              <w:widowControl/>
              <w:kinsoku w:val="0"/>
              <w:autoSpaceDE w:val="0"/>
              <w:autoSpaceDN w:val="0"/>
              <w:adjustRightInd w:val="0"/>
              <w:snapToGrid w:val="0"/>
              <w:spacing w:line="240" w:lineRule="auto"/>
              <w:ind w:firstLineChars="0" w:firstLine="0"/>
              <w:textAlignment w:val="baseline"/>
              <w:rPr>
                <w:rFonts w:ascii="仿宋" w:eastAsia="仿宋" w:hAnsi="仿宋" w:cs="仿宋"/>
                <w:bCs/>
                <w:snapToGrid w:val="0"/>
                <w:color w:val="000000" w:themeColor="text1"/>
                <w:spacing w:val="6"/>
                <w:kern w:val="0"/>
                <w:sz w:val="24"/>
                <w:szCs w:val="24"/>
              </w:rPr>
            </w:pPr>
            <w:r>
              <w:rPr>
                <w:rFonts w:ascii="仿宋" w:eastAsia="仿宋" w:hAnsi="仿宋" w:cs="仿宋" w:hint="eastAsia"/>
                <w:bCs/>
                <w:snapToGrid w:val="0"/>
                <w:color w:val="000000" w:themeColor="text1"/>
                <w:spacing w:val="6"/>
                <w:kern w:val="0"/>
                <w:sz w:val="24"/>
                <w:szCs w:val="24"/>
              </w:rPr>
              <w:t xml:space="preserve">258.59 </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bottom"/>
          </w:tcPr>
          <w:p w:rsidR="00D00D0B" w:rsidRDefault="00FD0360">
            <w:pPr>
              <w:widowControl/>
              <w:kinsoku w:val="0"/>
              <w:autoSpaceDE w:val="0"/>
              <w:autoSpaceDN w:val="0"/>
              <w:adjustRightInd w:val="0"/>
              <w:snapToGrid w:val="0"/>
              <w:spacing w:line="240" w:lineRule="auto"/>
              <w:ind w:firstLineChars="0" w:firstLine="0"/>
              <w:textAlignment w:val="baseline"/>
              <w:rPr>
                <w:rFonts w:ascii="仿宋" w:eastAsia="仿宋" w:hAnsi="仿宋" w:cs="仿宋"/>
                <w:bCs/>
                <w:snapToGrid w:val="0"/>
                <w:color w:val="000000" w:themeColor="text1"/>
                <w:spacing w:val="6"/>
                <w:kern w:val="0"/>
                <w:sz w:val="24"/>
                <w:szCs w:val="24"/>
              </w:rPr>
            </w:pPr>
            <w:r>
              <w:rPr>
                <w:rFonts w:ascii="仿宋" w:eastAsia="仿宋" w:hAnsi="仿宋" w:cs="仿宋" w:hint="eastAsia"/>
                <w:bCs/>
                <w:snapToGrid w:val="0"/>
                <w:color w:val="000000" w:themeColor="text1"/>
                <w:spacing w:val="6"/>
                <w:kern w:val="0"/>
                <w:sz w:val="24"/>
                <w:szCs w:val="24"/>
              </w:rPr>
              <w:t xml:space="preserve">307.04 </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bottom"/>
          </w:tcPr>
          <w:p w:rsidR="00D00D0B" w:rsidRDefault="00FD0360">
            <w:pPr>
              <w:widowControl/>
              <w:kinsoku w:val="0"/>
              <w:autoSpaceDE w:val="0"/>
              <w:autoSpaceDN w:val="0"/>
              <w:adjustRightInd w:val="0"/>
              <w:snapToGrid w:val="0"/>
              <w:spacing w:line="240" w:lineRule="auto"/>
              <w:ind w:firstLineChars="0" w:firstLine="0"/>
              <w:textAlignment w:val="baseline"/>
              <w:rPr>
                <w:rFonts w:ascii="仿宋" w:eastAsia="仿宋" w:hAnsi="仿宋" w:cs="仿宋"/>
                <w:bCs/>
                <w:snapToGrid w:val="0"/>
                <w:color w:val="000000" w:themeColor="text1"/>
                <w:spacing w:val="6"/>
                <w:kern w:val="0"/>
                <w:sz w:val="24"/>
                <w:szCs w:val="24"/>
              </w:rPr>
            </w:pPr>
            <w:r>
              <w:rPr>
                <w:rFonts w:ascii="仿宋" w:eastAsia="仿宋" w:hAnsi="仿宋" w:cs="仿宋" w:hint="eastAsia"/>
                <w:bCs/>
                <w:snapToGrid w:val="0"/>
                <w:color w:val="000000" w:themeColor="text1"/>
                <w:spacing w:val="6"/>
                <w:kern w:val="0"/>
                <w:sz w:val="24"/>
                <w:szCs w:val="24"/>
              </w:rPr>
              <w:t xml:space="preserve">355.49 </w:t>
            </w:r>
          </w:p>
        </w:tc>
      </w:tr>
    </w:tbl>
    <w:p w:rsidR="00D00D0B" w:rsidRDefault="00FD0360" w:rsidP="00CC58E9">
      <w:pPr>
        <w:widowControl/>
        <w:kinsoku w:val="0"/>
        <w:autoSpaceDE w:val="0"/>
        <w:autoSpaceDN w:val="0"/>
        <w:adjustRightInd w:val="0"/>
        <w:snapToGrid w:val="0"/>
        <w:spacing w:beforeLines="50" w:afterLines="50" w:line="240" w:lineRule="auto"/>
        <w:ind w:firstLine="584"/>
        <w:textAlignment w:val="baseline"/>
        <w:rPr>
          <w:rFonts w:ascii="黑体" w:eastAsia="黑体" w:hAnsi="黑体" w:cs="黑体"/>
          <w:bCs/>
          <w:snapToGrid w:val="0"/>
          <w:color w:val="000000" w:themeColor="text1"/>
          <w:spacing w:val="6"/>
          <w:kern w:val="0"/>
          <w:sz w:val="28"/>
          <w:szCs w:val="28"/>
        </w:rPr>
      </w:pPr>
      <w:r>
        <w:rPr>
          <w:rFonts w:ascii="黑体" w:eastAsia="黑体" w:hAnsi="黑体" w:cs="黑体" w:hint="eastAsia"/>
          <w:bCs/>
          <w:snapToGrid w:val="0"/>
          <w:color w:val="000000" w:themeColor="text1"/>
          <w:spacing w:val="6"/>
          <w:kern w:val="0"/>
          <w:sz w:val="28"/>
          <w:szCs w:val="28"/>
        </w:rPr>
        <w:t>3.2.3 行业选择</w:t>
      </w:r>
    </w:p>
    <w:p w:rsidR="00D00D0B" w:rsidRDefault="00FD0360">
      <w:pPr>
        <w:widowControl/>
        <w:kinsoku w:val="0"/>
        <w:autoSpaceDE w:val="0"/>
        <w:autoSpaceDN w:val="0"/>
        <w:adjustRightInd w:val="0"/>
        <w:snapToGrid w:val="0"/>
        <w:spacing w:line="240" w:lineRule="auto"/>
        <w:ind w:firstLine="584"/>
        <w:textAlignment w:val="baseline"/>
        <w:rPr>
          <w:rFonts w:ascii="仿宋" w:eastAsia="仿宋" w:hAnsi="仿宋" w:cs="仿宋"/>
          <w:bCs/>
          <w:snapToGrid w:val="0"/>
          <w:color w:val="000000" w:themeColor="text1"/>
          <w:spacing w:val="6"/>
          <w:kern w:val="0"/>
          <w:sz w:val="28"/>
          <w:szCs w:val="28"/>
        </w:rPr>
      </w:pPr>
      <w:r>
        <w:rPr>
          <w:rFonts w:ascii="仿宋" w:eastAsia="仿宋" w:hAnsi="仿宋" w:cs="仿宋" w:hint="eastAsia"/>
          <w:bCs/>
          <w:snapToGrid w:val="0"/>
          <w:color w:val="000000" w:themeColor="text1"/>
          <w:spacing w:val="6"/>
          <w:kern w:val="0"/>
          <w:sz w:val="28"/>
          <w:szCs w:val="28"/>
        </w:rPr>
        <w:t>本行基于气候风险敞口重要性与管理优先级原则，选取贷款规模显著或行业集中度偏高的</w:t>
      </w:r>
      <w:r>
        <w:rPr>
          <w:rFonts w:ascii="仿宋" w:eastAsia="仿宋" w:hAnsi="仿宋" w:cs="仿宋" w:hint="eastAsia"/>
          <w:bCs/>
          <w:snapToGrid w:val="0"/>
          <w:color w:val="000000" w:themeColor="text1"/>
          <w:spacing w:val="6"/>
          <w:kern w:val="0"/>
          <w:sz w:val="28"/>
          <w:szCs w:val="28"/>
          <w:u w:val="single"/>
        </w:rPr>
        <w:t xml:space="preserve"> 钢铁 </w:t>
      </w:r>
      <w:r>
        <w:rPr>
          <w:rFonts w:ascii="仿宋" w:eastAsia="仿宋" w:hAnsi="仿宋" w:cs="仿宋" w:hint="eastAsia"/>
          <w:bCs/>
          <w:snapToGrid w:val="0"/>
          <w:color w:val="000000" w:themeColor="text1"/>
          <w:spacing w:val="6"/>
          <w:kern w:val="0"/>
          <w:sz w:val="28"/>
          <w:szCs w:val="28"/>
        </w:rPr>
        <w:t>领域作为气候风险评估重点。</w:t>
      </w:r>
    </w:p>
    <w:p w:rsidR="00D00D0B" w:rsidRDefault="00FD0360">
      <w:pPr>
        <w:widowControl/>
        <w:kinsoku w:val="0"/>
        <w:autoSpaceDE w:val="0"/>
        <w:autoSpaceDN w:val="0"/>
        <w:adjustRightInd w:val="0"/>
        <w:snapToGrid w:val="0"/>
        <w:spacing w:line="240" w:lineRule="auto"/>
        <w:ind w:firstLine="584"/>
        <w:textAlignment w:val="baseline"/>
        <w:rPr>
          <w:rFonts w:ascii="仿宋" w:eastAsia="仿宋" w:hAnsi="仿宋" w:cs="仿宋" w:hint="eastAsia"/>
          <w:bCs/>
          <w:snapToGrid w:val="0"/>
          <w:color w:val="000000" w:themeColor="text1"/>
          <w:spacing w:val="6"/>
          <w:kern w:val="0"/>
          <w:sz w:val="28"/>
          <w:szCs w:val="28"/>
        </w:rPr>
      </w:pPr>
      <w:r>
        <w:rPr>
          <w:rFonts w:ascii="仿宋" w:eastAsia="仿宋" w:hAnsi="仿宋" w:cs="仿宋" w:hint="eastAsia"/>
          <w:bCs/>
          <w:snapToGrid w:val="0"/>
          <w:color w:val="000000" w:themeColor="text1"/>
          <w:spacing w:val="6"/>
          <w:kern w:val="0"/>
          <w:sz w:val="28"/>
          <w:szCs w:val="28"/>
          <w:u w:val="single"/>
        </w:rPr>
        <w:t xml:space="preserve"> 钢铁 </w:t>
      </w:r>
      <w:r>
        <w:rPr>
          <w:rFonts w:ascii="仿宋" w:eastAsia="仿宋" w:hAnsi="仿宋" w:cs="仿宋" w:hint="eastAsia"/>
          <w:bCs/>
          <w:snapToGrid w:val="0"/>
          <w:color w:val="000000" w:themeColor="text1"/>
          <w:spacing w:val="6"/>
          <w:kern w:val="0"/>
          <w:sz w:val="28"/>
          <w:szCs w:val="28"/>
        </w:rPr>
        <w:t>行业作为典型的高碳排行业，其生产活动涉及大量化石能源消耗及温室气体排放，在全球低碳转型背景下面临严峻的政策约束与技术升级压力。通过聚焦此类行业，本行能够精准识别资产组合中的关键气候风险敞口，为后续压力测试提供典型性样本，同时响应监管机构对重点行业气候风险管理的差异化要求。</w:t>
      </w:r>
    </w:p>
    <w:p w:rsidR="00CC58E9" w:rsidRPr="00CC58E9" w:rsidRDefault="00CC58E9">
      <w:pPr>
        <w:widowControl/>
        <w:kinsoku w:val="0"/>
        <w:autoSpaceDE w:val="0"/>
        <w:autoSpaceDN w:val="0"/>
        <w:adjustRightInd w:val="0"/>
        <w:snapToGrid w:val="0"/>
        <w:spacing w:line="240" w:lineRule="auto"/>
        <w:ind w:firstLine="584"/>
        <w:textAlignment w:val="baseline"/>
        <w:rPr>
          <w:rFonts w:ascii="仿宋" w:eastAsia="仿宋" w:hAnsi="仿宋" w:cs="仿宋"/>
          <w:bCs/>
          <w:snapToGrid w:val="0"/>
          <w:color w:val="000000" w:themeColor="text1"/>
          <w:spacing w:val="6"/>
          <w:kern w:val="0"/>
          <w:sz w:val="28"/>
          <w:szCs w:val="28"/>
        </w:rPr>
      </w:pPr>
    </w:p>
    <w:p w:rsidR="00D00D0B" w:rsidRDefault="00FD0360" w:rsidP="00CC58E9">
      <w:pPr>
        <w:widowControl/>
        <w:kinsoku w:val="0"/>
        <w:autoSpaceDE w:val="0"/>
        <w:autoSpaceDN w:val="0"/>
        <w:adjustRightInd w:val="0"/>
        <w:snapToGrid w:val="0"/>
        <w:spacing w:beforeLines="50" w:afterLines="50" w:line="240" w:lineRule="auto"/>
        <w:ind w:firstLine="584"/>
        <w:textAlignment w:val="baseline"/>
        <w:rPr>
          <w:rFonts w:ascii="仿宋" w:eastAsia="仿宋" w:hAnsi="仿宋" w:cs="仿宋"/>
          <w:bCs/>
          <w:snapToGrid w:val="0"/>
          <w:color w:val="000000" w:themeColor="text1"/>
          <w:spacing w:val="6"/>
          <w:kern w:val="0"/>
          <w:sz w:val="28"/>
          <w:szCs w:val="28"/>
        </w:rPr>
      </w:pPr>
      <w:r>
        <w:rPr>
          <w:rFonts w:ascii="黑体" w:eastAsia="黑体" w:hAnsi="黑体" w:cs="黑体" w:hint="eastAsia"/>
          <w:bCs/>
          <w:snapToGrid w:val="0"/>
          <w:color w:val="000000" w:themeColor="text1"/>
          <w:spacing w:val="6"/>
          <w:kern w:val="0"/>
          <w:sz w:val="28"/>
          <w:szCs w:val="28"/>
        </w:rPr>
        <w:lastRenderedPageBreak/>
        <w:t>3.2.4 违约概率</w:t>
      </w:r>
    </w:p>
    <w:p w:rsidR="00D00D0B" w:rsidRDefault="00FD0360">
      <w:pPr>
        <w:widowControl/>
        <w:kinsoku w:val="0"/>
        <w:autoSpaceDE w:val="0"/>
        <w:autoSpaceDN w:val="0"/>
        <w:adjustRightInd w:val="0"/>
        <w:snapToGrid w:val="0"/>
        <w:spacing w:line="240" w:lineRule="auto"/>
        <w:ind w:firstLine="584"/>
        <w:textAlignment w:val="baseline"/>
        <w:rPr>
          <w:rFonts w:ascii="仿宋" w:eastAsia="仿宋" w:hAnsi="仿宋" w:cs="仿宋"/>
          <w:bCs/>
          <w:snapToGrid w:val="0"/>
          <w:color w:val="000000" w:themeColor="text1"/>
          <w:spacing w:val="6"/>
          <w:kern w:val="0"/>
          <w:sz w:val="28"/>
          <w:szCs w:val="28"/>
        </w:rPr>
      </w:pPr>
      <w:r>
        <w:rPr>
          <w:rFonts w:ascii="仿宋" w:eastAsia="仿宋" w:hAnsi="仿宋" w:cs="仿宋" w:hint="eastAsia"/>
          <w:bCs/>
          <w:snapToGrid w:val="0"/>
          <w:color w:val="000000" w:themeColor="text1"/>
          <w:spacing w:val="6"/>
          <w:kern w:val="0"/>
          <w:sz w:val="28"/>
          <w:szCs w:val="28"/>
        </w:rPr>
        <w:t>本行气候风险管理系统构建</w:t>
      </w:r>
      <w:proofErr w:type="gramStart"/>
      <w:r>
        <w:rPr>
          <w:rFonts w:ascii="仿宋" w:eastAsia="仿宋" w:hAnsi="仿宋" w:cs="仿宋" w:hint="eastAsia"/>
          <w:bCs/>
          <w:snapToGrid w:val="0"/>
          <w:color w:val="000000" w:themeColor="text1"/>
          <w:spacing w:val="6"/>
          <w:kern w:val="0"/>
          <w:sz w:val="28"/>
          <w:szCs w:val="28"/>
        </w:rPr>
        <w:t>碳价格</w:t>
      </w:r>
      <w:proofErr w:type="gramEnd"/>
      <w:r>
        <w:rPr>
          <w:rFonts w:ascii="仿宋" w:eastAsia="仿宋" w:hAnsi="仿宋" w:cs="仿宋" w:hint="eastAsia"/>
          <w:bCs/>
          <w:snapToGrid w:val="0"/>
          <w:color w:val="000000" w:themeColor="text1"/>
          <w:spacing w:val="6"/>
          <w:kern w:val="0"/>
          <w:sz w:val="28"/>
          <w:szCs w:val="28"/>
        </w:rPr>
        <w:t>风险冲击矩阵，整合贷款预期价值变动率、贷款账面价值及行业碳排放强度等核心指标，量化不同气候情景下各行业面临的风险敞口。建立企业盈利与资本结构动态响应模型，通过模型量化</w:t>
      </w:r>
      <w:proofErr w:type="gramStart"/>
      <w:r>
        <w:rPr>
          <w:rFonts w:ascii="仿宋" w:eastAsia="仿宋" w:hAnsi="仿宋" w:cs="仿宋" w:hint="eastAsia"/>
          <w:bCs/>
          <w:snapToGrid w:val="0"/>
          <w:color w:val="000000" w:themeColor="text1"/>
          <w:spacing w:val="6"/>
          <w:kern w:val="0"/>
          <w:sz w:val="28"/>
          <w:szCs w:val="28"/>
        </w:rPr>
        <w:t>碳价格</w:t>
      </w:r>
      <w:proofErr w:type="gramEnd"/>
      <w:r>
        <w:rPr>
          <w:rFonts w:ascii="仿宋" w:eastAsia="仿宋" w:hAnsi="仿宋" w:cs="仿宋" w:hint="eastAsia"/>
          <w:bCs/>
          <w:snapToGrid w:val="0"/>
          <w:color w:val="000000" w:themeColor="text1"/>
          <w:spacing w:val="6"/>
          <w:kern w:val="0"/>
          <w:sz w:val="28"/>
          <w:szCs w:val="28"/>
        </w:rPr>
        <w:t>冲击对企业</w:t>
      </w:r>
      <w:proofErr w:type="gramStart"/>
      <w:r>
        <w:rPr>
          <w:rFonts w:ascii="仿宋" w:eastAsia="仿宋" w:hAnsi="仿宋" w:cs="仿宋" w:hint="eastAsia"/>
          <w:bCs/>
          <w:snapToGrid w:val="0"/>
          <w:color w:val="000000" w:themeColor="text1"/>
          <w:spacing w:val="6"/>
          <w:kern w:val="0"/>
          <w:sz w:val="28"/>
          <w:szCs w:val="28"/>
        </w:rPr>
        <w:t>息</w:t>
      </w:r>
      <w:proofErr w:type="gramEnd"/>
      <w:r>
        <w:rPr>
          <w:rFonts w:ascii="仿宋" w:eastAsia="仿宋" w:hAnsi="仿宋" w:cs="仿宋" w:hint="eastAsia"/>
          <w:bCs/>
          <w:snapToGrid w:val="0"/>
          <w:color w:val="000000" w:themeColor="text1"/>
          <w:spacing w:val="6"/>
          <w:kern w:val="0"/>
          <w:sz w:val="28"/>
          <w:szCs w:val="28"/>
        </w:rPr>
        <w:t>税前利润的直接影响，采用权益价值变动模型评估企业净资产的市场价值波动。同时基于特定信用风险评估框架，构建违约距离动态模型，通过计算基准情景与转型情景下的违约距离差值，最终推导气候冲击导致的违约概率变化。</w:t>
      </w:r>
    </w:p>
    <w:p w:rsidR="00D00D0B" w:rsidRDefault="00FD0360" w:rsidP="00CC58E9">
      <w:pPr>
        <w:widowControl/>
        <w:kinsoku w:val="0"/>
        <w:autoSpaceDE w:val="0"/>
        <w:autoSpaceDN w:val="0"/>
        <w:adjustRightInd w:val="0"/>
        <w:snapToGrid w:val="0"/>
        <w:spacing w:beforeLines="50" w:afterLines="50" w:line="240" w:lineRule="auto"/>
        <w:ind w:firstLine="584"/>
        <w:textAlignment w:val="baseline"/>
        <w:rPr>
          <w:rFonts w:ascii="黑体" w:eastAsia="黑体" w:hAnsi="黑体" w:cs="黑体"/>
          <w:bCs/>
          <w:snapToGrid w:val="0"/>
          <w:color w:val="000000" w:themeColor="text1"/>
          <w:spacing w:val="6"/>
          <w:kern w:val="0"/>
          <w:sz w:val="28"/>
          <w:szCs w:val="28"/>
        </w:rPr>
      </w:pPr>
      <w:r>
        <w:rPr>
          <w:rFonts w:ascii="黑体" w:eastAsia="黑体" w:hAnsi="黑体" w:cs="黑体" w:hint="eastAsia"/>
          <w:bCs/>
          <w:snapToGrid w:val="0"/>
          <w:color w:val="000000" w:themeColor="text1"/>
          <w:spacing w:val="6"/>
          <w:kern w:val="0"/>
          <w:sz w:val="28"/>
          <w:szCs w:val="28"/>
        </w:rPr>
        <w:t>3.2.5 压力测试</w:t>
      </w:r>
    </w:p>
    <w:p w:rsidR="00D00D0B" w:rsidRDefault="00FD0360">
      <w:pPr>
        <w:widowControl/>
        <w:kinsoku w:val="0"/>
        <w:autoSpaceDE w:val="0"/>
        <w:autoSpaceDN w:val="0"/>
        <w:adjustRightInd w:val="0"/>
        <w:snapToGrid w:val="0"/>
        <w:spacing w:line="240" w:lineRule="auto"/>
        <w:ind w:firstLine="584"/>
        <w:textAlignment w:val="baseline"/>
        <w:rPr>
          <w:rFonts w:ascii="仿宋" w:eastAsia="仿宋" w:hAnsi="仿宋" w:cs="仿宋"/>
          <w:bCs/>
          <w:snapToGrid w:val="0"/>
          <w:color w:val="000000" w:themeColor="text1"/>
          <w:spacing w:val="6"/>
          <w:kern w:val="0"/>
          <w:sz w:val="28"/>
          <w:szCs w:val="28"/>
        </w:rPr>
      </w:pPr>
      <w:r>
        <w:rPr>
          <w:rFonts w:ascii="仿宋" w:eastAsia="仿宋" w:hAnsi="仿宋" w:cs="仿宋" w:hint="eastAsia"/>
          <w:bCs/>
          <w:snapToGrid w:val="0"/>
          <w:color w:val="000000" w:themeColor="text1"/>
          <w:spacing w:val="6"/>
          <w:kern w:val="0"/>
          <w:sz w:val="28"/>
          <w:szCs w:val="28"/>
        </w:rPr>
        <w:t xml:space="preserve">本行采用“企业—行业—银行”自下而上的气候风险压力测试路径设计，从本行具体资产与业务单元出发，逐层评估气候风险对单体资产或业务单元的直接影响，通过风险敞口聚合与财务指标联动，最终汇总至银行整体层面，形成系统性风险量化评估框架。 </w:t>
      </w:r>
    </w:p>
    <w:p w:rsidR="00D00D0B" w:rsidRDefault="00D00D0B" w:rsidP="00DB75FB">
      <w:pPr>
        <w:ind w:firstLineChars="0" w:firstLine="0"/>
      </w:pPr>
    </w:p>
    <w:p w:rsidR="00D00D0B" w:rsidRDefault="00FD0360">
      <w:pPr>
        <w:pStyle w:val="1"/>
      </w:pPr>
      <w:bookmarkStart w:id="13" w:name="_Toc11283"/>
      <w:r>
        <w:rPr>
          <w:rFonts w:hint="eastAsia"/>
        </w:rPr>
        <w:t>第四章 气候风险评估结果</w:t>
      </w:r>
      <w:bookmarkEnd w:id="13"/>
    </w:p>
    <w:p w:rsidR="00D00D0B" w:rsidRDefault="00FD0360" w:rsidP="00DB75FB">
      <w:pPr>
        <w:pStyle w:val="20"/>
        <w:spacing w:before="156" w:after="62"/>
      </w:pPr>
      <w:bookmarkStart w:id="14" w:name="_Toc18168"/>
      <w:r>
        <w:rPr>
          <w:rFonts w:hint="eastAsia"/>
        </w:rPr>
        <w:t>4.1 物理风险评估结果</w:t>
      </w:r>
      <w:bookmarkEnd w:id="14"/>
    </w:p>
    <w:p w:rsidR="00D00D0B" w:rsidRDefault="00FD0360" w:rsidP="00CC58E9">
      <w:pPr>
        <w:widowControl/>
        <w:kinsoku w:val="0"/>
        <w:autoSpaceDE w:val="0"/>
        <w:autoSpaceDN w:val="0"/>
        <w:adjustRightInd w:val="0"/>
        <w:snapToGrid w:val="0"/>
        <w:spacing w:beforeLines="50" w:afterLines="50" w:line="240" w:lineRule="auto"/>
        <w:ind w:firstLine="584"/>
        <w:textAlignment w:val="baseline"/>
        <w:rPr>
          <w:rFonts w:ascii="黑体" w:eastAsia="黑体" w:hAnsi="黑体" w:cs="黑体"/>
          <w:bCs/>
          <w:snapToGrid w:val="0"/>
          <w:color w:val="000000" w:themeColor="text1"/>
          <w:spacing w:val="6"/>
          <w:kern w:val="0"/>
          <w:sz w:val="28"/>
          <w:szCs w:val="28"/>
        </w:rPr>
      </w:pPr>
      <w:r>
        <w:rPr>
          <w:rFonts w:ascii="黑体" w:eastAsia="黑体" w:hAnsi="黑体" w:cs="黑体" w:hint="eastAsia"/>
          <w:bCs/>
          <w:snapToGrid w:val="0"/>
          <w:color w:val="000000" w:themeColor="text1"/>
          <w:spacing w:val="6"/>
          <w:kern w:val="0"/>
          <w:sz w:val="28"/>
          <w:szCs w:val="28"/>
        </w:rPr>
        <w:t>1）江苏省2025年夏季热浪压力测试结果</w:t>
      </w:r>
    </w:p>
    <w:p w:rsidR="00D00D0B" w:rsidRDefault="00FD0360" w:rsidP="00CC58E9">
      <w:pPr>
        <w:widowControl/>
        <w:kinsoku w:val="0"/>
        <w:autoSpaceDE w:val="0"/>
        <w:autoSpaceDN w:val="0"/>
        <w:adjustRightInd w:val="0"/>
        <w:snapToGrid w:val="0"/>
        <w:spacing w:beforeLines="50" w:line="240" w:lineRule="auto"/>
        <w:ind w:firstLine="584"/>
        <w:textAlignment w:val="baseline"/>
        <w:rPr>
          <w:rFonts w:ascii="仿宋" w:eastAsia="仿宋" w:hAnsi="仿宋" w:cs="仿宋"/>
          <w:bCs/>
          <w:snapToGrid w:val="0"/>
          <w:color w:val="000000" w:themeColor="text1"/>
          <w:spacing w:val="6"/>
          <w:kern w:val="0"/>
          <w:sz w:val="28"/>
          <w:szCs w:val="28"/>
        </w:rPr>
      </w:pPr>
      <w:r>
        <w:rPr>
          <w:rFonts w:ascii="仿宋" w:eastAsia="仿宋" w:hAnsi="仿宋" w:cs="仿宋" w:hint="eastAsia"/>
          <w:bCs/>
          <w:snapToGrid w:val="0"/>
          <w:color w:val="000000" w:themeColor="text1"/>
          <w:spacing w:val="6"/>
          <w:kern w:val="0"/>
          <w:sz w:val="28"/>
          <w:szCs w:val="28"/>
        </w:rPr>
        <w:t>报告期内，本行在以下物理风险（热浪）覆盖区域内，无贷款客户和信贷资产。</w:t>
      </w:r>
    </w:p>
    <w:p w:rsidR="00D00D0B" w:rsidRDefault="00FD0360">
      <w:pPr>
        <w:ind w:firstLineChars="0" w:firstLine="0"/>
        <w:jc w:val="center"/>
        <w:rPr>
          <w:rFonts w:ascii="黑体" w:eastAsia="黑体" w:hAnsi="黑体" w:cs="黑体"/>
          <w:sz w:val="24"/>
          <w:szCs w:val="24"/>
        </w:rPr>
      </w:pPr>
      <w:r>
        <w:rPr>
          <w:rFonts w:ascii="黑体" w:eastAsia="黑体" w:hAnsi="黑体" w:cs="黑体" w:hint="eastAsia"/>
          <w:sz w:val="24"/>
          <w:szCs w:val="24"/>
        </w:rPr>
        <w:t>表3 江苏省2025年夏季热浪压力测试结果</w:t>
      </w:r>
    </w:p>
    <w:tbl>
      <w:tblPr>
        <w:tblW w:w="9377" w:type="dxa"/>
        <w:tblInd w:w="88" w:type="dxa"/>
        <w:tblLayout w:type="fixed"/>
        <w:tblLook w:val="04A0"/>
      </w:tblPr>
      <w:tblGrid>
        <w:gridCol w:w="3400"/>
        <w:gridCol w:w="1031"/>
        <w:gridCol w:w="1773"/>
        <w:gridCol w:w="1691"/>
        <w:gridCol w:w="1482"/>
      </w:tblGrid>
      <w:tr w:rsidR="00D00D0B">
        <w:trPr>
          <w:trHeight w:val="840"/>
        </w:trPr>
        <w:tc>
          <w:tcPr>
            <w:tcW w:w="3400" w:type="dxa"/>
            <w:tcBorders>
              <w:top w:val="single" w:sz="4" w:space="0" w:color="000000"/>
              <w:left w:val="single" w:sz="4" w:space="0" w:color="000000"/>
              <w:bottom w:val="single" w:sz="4" w:space="0" w:color="000000"/>
              <w:right w:val="single" w:sz="4" w:space="0" w:color="000000"/>
            </w:tcBorders>
            <w:shd w:val="clear" w:color="auto" w:fill="E2EFD9" w:themeFill="accent6" w:themeFillTint="32"/>
            <w:noWrap/>
            <w:vAlign w:val="center"/>
          </w:tcPr>
          <w:p w:rsidR="00D00D0B" w:rsidRDefault="00FD0360">
            <w:pPr>
              <w:widowControl/>
              <w:kinsoku w:val="0"/>
              <w:autoSpaceDE w:val="0"/>
              <w:autoSpaceDN w:val="0"/>
              <w:adjustRightInd w:val="0"/>
              <w:snapToGrid w:val="0"/>
              <w:spacing w:line="240" w:lineRule="auto"/>
              <w:ind w:firstLineChars="0" w:firstLine="0"/>
              <w:jc w:val="center"/>
              <w:textAlignment w:val="baseline"/>
              <w:rPr>
                <w:rFonts w:ascii="黑体" w:eastAsia="黑体" w:hAnsi="黑体" w:cs="黑体"/>
                <w:bCs/>
                <w:snapToGrid w:val="0"/>
                <w:color w:val="000000" w:themeColor="text1"/>
                <w:spacing w:val="6"/>
                <w:kern w:val="0"/>
                <w:sz w:val="24"/>
                <w:szCs w:val="24"/>
              </w:rPr>
            </w:pPr>
            <w:r>
              <w:rPr>
                <w:rFonts w:ascii="黑体" w:eastAsia="黑体" w:hAnsi="黑体" w:cs="黑体" w:hint="eastAsia"/>
                <w:bCs/>
                <w:snapToGrid w:val="0"/>
                <w:color w:val="000000" w:themeColor="text1"/>
                <w:spacing w:val="6"/>
                <w:kern w:val="0"/>
                <w:sz w:val="24"/>
                <w:szCs w:val="24"/>
              </w:rPr>
              <w:t>物理风险（热浪）覆盖区域</w:t>
            </w:r>
          </w:p>
        </w:tc>
        <w:tc>
          <w:tcPr>
            <w:tcW w:w="1031" w:type="dxa"/>
            <w:tcBorders>
              <w:top w:val="single" w:sz="4" w:space="0" w:color="000000"/>
              <w:left w:val="single" w:sz="4" w:space="0" w:color="000000"/>
              <w:bottom w:val="single" w:sz="4" w:space="0" w:color="000000"/>
              <w:right w:val="single" w:sz="4" w:space="0" w:color="000000"/>
            </w:tcBorders>
            <w:shd w:val="clear" w:color="auto" w:fill="E2EFD9" w:themeFill="accent6" w:themeFillTint="32"/>
            <w:noWrap/>
            <w:vAlign w:val="center"/>
          </w:tcPr>
          <w:p w:rsidR="00D00D0B" w:rsidRDefault="00FD0360">
            <w:pPr>
              <w:widowControl/>
              <w:kinsoku w:val="0"/>
              <w:autoSpaceDE w:val="0"/>
              <w:autoSpaceDN w:val="0"/>
              <w:adjustRightInd w:val="0"/>
              <w:snapToGrid w:val="0"/>
              <w:spacing w:line="240" w:lineRule="auto"/>
              <w:ind w:firstLineChars="0" w:firstLine="0"/>
              <w:jc w:val="center"/>
              <w:textAlignment w:val="baseline"/>
              <w:rPr>
                <w:rFonts w:ascii="黑体" w:eastAsia="黑体" w:hAnsi="黑体" w:cs="黑体"/>
                <w:bCs/>
                <w:snapToGrid w:val="0"/>
                <w:color w:val="000000" w:themeColor="text1"/>
                <w:spacing w:val="6"/>
                <w:kern w:val="0"/>
                <w:sz w:val="24"/>
                <w:szCs w:val="24"/>
              </w:rPr>
            </w:pPr>
            <w:r>
              <w:rPr>
                <w:rFonts w:ascii="黑体" w:eastAsia="黑体" w:hAnsi="黑体" w:cs="黑体" w:hint="eastAsia"/>
                <w:bCs/>
                <w:snapToGrid w:val="0"/>
                <w:color w:val="000000" w:themeColor="text1"/>
                <w:spacing w:val="6"/>
                <w:kern w:val="0"/>
                <w:sz w:val="24"/>
                <w:szCs w:val="24"/>
              </w:rPr>
              <w:t>年度</w:t>
            </w:r>
          </w:p>
        </w:tc>
        <w:tc>
          <w:tcPr>
            <w:tcW w:w="1773" w:type="dxa"/>
            <w:tcBorders>
              <w:top w:val="single" w:sz="4" w:space="0" w:color="000000"/>
              <w:left w:val="single" w:sz="4" w:space="0" w:color="000000"/>
              <w:bottom w:val="single" w:sz="4" w:space="0" w:color="000000"/>
              <w:right w:val="single" w:sz="4" w:space="0" w:color="000000"/>
            </w:tcBorders>
            <w:shd w:val="clear" w:color="auto" w:fill="E2EFD9" w:themeFill="accent6" w:themeFillTint="32"/>
            <w:noWrap/>
            <w:vAlign w:val="center"/>
          </w:tcPr>
          <w:p w:rsidR="00D00D0B" w:rsidRDefault="00FD0360">
            <w:pPr>
              <w:widowControl/>
              <w:kinsoku w:val="0"/>
              <w:autoSpaceDE w:val="0"/>
              <w:autoSpaceDN w:val="0"/>
              <w:adjustRightInd w:val="0"/>
              <w:snapToGrid w:val="0"/>
              <w:spacing w:line="240" w:lineRule="auto"/>
              <w:ind w:firstLineChars="0" w:firstLine="0"/>
              <w:jc w:val="center"/>
              <w:textAlignment w:val="baseline"/>
              <w:rPr>
                <w:rFonts w:ascii="黑体" w:eastAsia="黑体" w:hAnsi="黑体" w:cs="黑体"/>
                <w:bCs/>
                <w:snapToGrid w:val="0"/>
                <w:color w:val="000000" w:themeColor="text1"/>
                <w:spacing w:val="6"/>
                <w:kern w:val="0"/>
                <w:sz w:val="24"/>
                <w:szCs w:val="24"/>
              </w:rPr>
            </w:pPr>
            <w:r>
              <w:rPr>
                <w:rFonts w:ascii="黑体" w:eastAsia="黑体" w:hAnsi="黑体" w:cs="黑体" w:hint="eastAsia"/>
                <w:bCs/>
                <w:snapToGrid w:val="0"/>
                <w:color w:val="000000" w:themeColor="text1"/>
                <w:spacing w:val="6"/>
                <w:kern w:val="0"/>
                <w:sz w:val="24"/>
                <w:szCs w:val="24"/>
              </w:rPr>
              <w:t>物理风险敏感行业</w:t>
            </w:r>
          </w:p>
        </w:tc>
        <w:tc>
          <w:tcPr>
            <w:tcW w:w="1691" w:type="dxa"/>
            <w:tcBorders>
              <w:top w:val="single" w:sz="4" w:space="0" w:color="000000"/>
              <w:left w:val="single" w:sz="4" w:space="0" w:color="000000"/>
              <w:bottom w:val="single" w:sz="4" w:space="0" w:color="000000"/>
              <w:right w:val="single" w:sz="4" w:space="0" w:color="000000"/>
            </w:tcBorders>
            <w:shd w:val="clear" w:color="auto" w:fill="E2EFD9" w:themeFill="accent6" w:themeFillTint="32"/>
            <w:noWrap/>
            <w:vAlign w:val="center"/>
          </w:tcPr>
          <w:p w:rsidR="00D00D0B" w:rsidRDefault="00FD0360">
            <w:pPr>
              <w:widowControl/>
              <w:kinsoku w:val="0"/>
              <w:autoSpaceDE w:val="0"/>
              <w:autoSpaceDN w:val="0"/>
              <w:adjustRightInd w:val="0"/>
              <w:snapToGrid w:val="0"/>
              <w:spacing w:line="240" w:lineRule="auto"/>
              <w:ind w:firstLineChars="0" w:firstLine="0"/>
              <w:jc w:val="center"/>
              <w:textAlignment w:val="baseline"/>
              <w:rPr>
                <w:rFonts w:ascii="黑体" w:eastAsia="黑体" w:hAnsi="黑体" w:cs="黑体"/>
                <w:bCs/>
                <w:snapToGrid w:val="0"/>
                <w:color w:val="000000" w:themeColor="text1"/>
                <w:spacing w:val="6"/>
                <w:kern w:val="0"/>
                <w:sz w:val="24"/>
                <w:szCs w:val="24"/>
              </w:rPr>
            </w:pPr>
            <w:r>
              <w:rPr>
                <w:rFonts w:ascii="黑体" w:eastAsia="黑体" w:hAnsi="黑体" w:cs="黑体" w:hint="eastAsia"/>
                <w:bCs/>
                <w:snapToGrid w:val="0"/>
                <w:color w:val="000000" w:themeColor="text1"/>
                <w:spacing w:val="6"/>
                <w:kern w:val="0"/>
                <w:sz w:val="24"/>
                <w:szCs w:val="24"/>
              </w:rPr>
              <w:t>物理风险敏感行业贷款金额(万元)</w:t>
            </w:r>
          </w:p>
        </w:tc>
        <w:tc>
          <w:tcPr>
            <w:tcW w:w="1482" w:type="dxa"/>
            <w:tcBorders>
              <w:top w:val="single" w:sz="4" w:space="0" w:color="000000"/>
              <w:left w:val="single" w:sz="4" w:space="0" w:color="000000"/>
              <w:bottom w:val="single" w:sz="4" w:space="0" w:color="000000"/>
              <w:right w:val="single" w:sz="4" w:space="0" w:color="000000"/>
            </w:tcBorders>
            <w:shd w:val="clear" w:color="auto" w:fill="E2EFD9" w:themeFill="accent6" w:themeFillTint="32"/>
            <w:noWrap/>
            <w:vAlign w:val="center"/>
          </w:tcPr>
          <w:p w:rsidR="00D00D0B" w:rsidRDefault="00FD0360">
            <w:pPr>
              <w:widowControl/>
              <w:kinsoku w:val="0"/>
              <w:autoSpaceDE w:val="0"/>
              <w:autoSpaceDN w:val="0"/>
              <w:adjustRightInd w:val="0"/>
              <w:snapToGrid w:val="0"/>
              <w:spacing w:line="240" w:lineRule="auto"/>
              <w:ind w:firstLineChars="0" w:firstLine="0"/>
              <w:jc w:val="center"/>
              <w:textAlignment w:val="baseline"/>
              <w:rPr>
                <w:rFonts w:ascii="黑体" w:eastAsia="黑体" w:hAnsi="黑体" w:cs="黑体"/>
                <w:bCs/>
                <w:snapToGrid w:val="0"/>
                <w:color w:val="000000" w:themeColor="text1"/>
                <w:spacing w:val="6"/>
                <w:kern w:val="0"/>
                <w:sz w:val="24"/>
                <w:szCs w:val="24"/>
              </w:rPr>
            </w:pPr>
            <w:r>
              <w:rPr>
                <w:rFonts w:ascii="黑体" w:eastAsia="黑体" w:hAnsi="黑体" w:cs="黑体" w:hint="eastAsia"/>
                <w:bCs/>
                <w:snapToGrid w:val="0"/>
                <w:color w:val="000000" w:themeColor="text1"/>
                <w:spacing w:val="6"/>
                <w:kern w:val="0"/>
                <w:sz w:val="24"/>
                <w:szCs w:val="24"/>
              </w:rPr>
              <w:t>物理风险敏感行业贷款占比(%)</w:t>
            </w:r>
          </w:p>
        </w:tc>
      </w:tr>
      <w:tr w:rsidR="00D00D0B">
        <w:trPr>
          <w:trHeight w:val="418"/>
        </w:trPr>
        <w:tc>
          <w:tcPr>
            <w:tcW w:w="3400" w:type="dxa"/>
            <w:vMerge w:val="restart"/>
            <w:tcBorders>
              <w:top w:val="single" w:sz="4" w:space="0" w:color="000000"/>
              <w:left w:val="single" w:sz="4" w:space="0" w:color="000000"/>
              <w:right w:val="single" w:sz="4" w:space="0" w:color="000000"/>
            </w:tcBorders>
            <w:shd w:val="clear" w:color="auto" w:fill="auto"/>
            <w:noWrap/>
            <w:vAlign w:val="center"/>
          </w:tcPr>
          <w:p w:rsidR="00D00D0B" w:rsidRDefault="00FD0360">
            <w:pPr>
              <w:widowControl/>
              <w:kinsoku w:val="0"/>
              <w:autoSpaceDE w:val="0"/>
              <w:autoSpaceDN w:val="0"/>
              <w:adjustRightInd w:val="0"/>
              <w:snapToGrid w:val="0"/>
              <w:spacing w:line="240" w:lineRule="auto"/>
              <w:ind w:firstLineChars="0" w:firstLine="0"/>
              <w:textAlignment w:val="baseline"/>
              <w:rPr>
                <w:rFonts w:ascii="仿宋" w:eastAsia="仿宋" w:hAnsi="仿宋" w:cs="仿宋"/>
                <w:bCs/>
                <w:snapToGrid w:val="0"/>
                <w:color w:val="000000" w:themeColor="text1"/>
                <w:spacing w:val="6"/>
                <w:kern w:val="0"/>
                <w:sz w:val="24"/>
                <w:szCs w:val="24"/>
              </w:rPr>
            </w:pPr>
            <w:r>
              <w:rPr>
                <w:rFonts w:ascii="仿宋" w:eastAsia="仿宋" w:hAnsi="仿宋" w:cs="仿宋" w:hint="eastAsia"/>
                <w:bCs/>
                <w:snapToGrid w:val="0"/>
                <w:color w:val="000000" w:themeColor="text1"/>
                <w:spacing w:val="6"/>
                <w:kern w:val="0"/>
                <w:sz w:val="24"/>
                <w:szCs w:val="24"/>
              </w:rPr>
              <w:t>射阳、大丰、通州、海门、启东、如皋、高淳、宜兴、溧阳、盱眙、泗洪、沛县、丰县、邳州、新沂、睢宁</w:t>
            </w:r>
          </w:p>
        </w:tc>
        <w:tc>
          <w:tcPr>
            <w:tcW w:w="1031" w:type="dxa"/>
            <w:vMerge w:val="restart"/>
            <w:tcBorders>
              <w:top w:val="single" w:sz="4" w:space="0" w:color="000000"/>
              <w:left w:val="single" w:sz="4" w:space="0" w:color="000000"/>
              <w:right w:val="single" w:sz="4" w:space="0" w:color="000000"/>
            </w:tcBorders>
            <w:shd w:val="clear" w:color="auto" w:fill="auto"/>
            <w:noWrap/>
            <w:vAlign w:val="center"/>
          </w:tcPr>
          <w:p w:rsidR="00D00D0B" w:rsidRDefault="00FD0360">
            <w:pPr>
              <w:widowControl/>
              <w:kinsoku w:val="0"/>
              <w:autoSpaceDE w:val="0"/>
              <w:autoSpaceDN w:val="0"/>
              <w:adjustRightInd w:val="0"/>
              <w:snapToGrid w:val="0"/>
              <w:spacing w:line="240" w:lineRule="auto"/>
              <w:ind w:firstLineChars="0" w:firstLine="0"/>
              <w:textAlignment w:val="baseline"/>
              <w:rPr>
                <w:rFonts w:ascii="仿宋" w:eastAsia="仿宋" w:hAnsi="仿宋" w:cs="仿宋"/>
                <w:bCs/>
                <w:snapToGrid w:val="0"/>
                <w:color w:val="000000" w:themeColor="text1"/>
                <w:spacing w:val="6"/>
                <w:kern w:val="0"/>
                <w:sz w:val="24"/>
                <w:szCs w:val="24"/>
              </w:rPr>
            </w:pPr>
            <w:r>
              <w:rPr>
                <w:rFonts w:ascii="仿宋" w:eastAsia="仿宋" w:hAnsi="仿宋" w:cs="仿宋" w:hint="eastAsia"/>
                <w:bCs/>
                <w:snapToGrid w:val="0"/>
                <w:color w:val="000000" w:themeColor="text1"/>
                <w:spacing w:val="6"/>
                <w:kern w:val="0"/>
                <w:sz w:val="24"/>
                <w:szCs w:val="24"/>
              </w:rPr>
              <w:t>2025</w:t>
            </w:r>
          </w:p>
        </w:tc>
        <w:tc>
          <w:tcPr>
            <w:tcW w:w="177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00D0B" w:rsidRDefault="00FD0360">
            <w:pPr>
              <w:widowControl/>
              <w:kinsoku w:val="0"/>
              <w:autoSpaceDE w:val="0"/>
              <w:autoSpaceDN w:val="0"/>
              <w:adjustRightInd w:val="0"/>
              <w:snapToGrid w:val="0"/>
              <w:spacing w:line="240" w:lineRule="auto"/>
              <w:ind w:firstLineChars="0" w:firstLine="0"/>
              <w:jc w:val="center"/>
              <w:textAlignment w:val="baseline"/>
              <w:rPr>
                <w:rFonts w:ascii="仿宋" w:eastAsia="仿宋" w:hAnsi="仿宋" w:cs="仿宋"/>
                <w:bCs/>
                <w:snapToGrid w:val="0"/>
                <w:color w:val="000000" w:themeColor="text1"/>
                <w:spacing w:val="6"/>
                <w:kern w:val="0"/>
                <w:sz w:val="24"/>
                <w:szCs w:val="24"/>
              </w:rPr>
            </w:pPr>
            <w:r>
              <w:rPr>
                <w:rFonts w:ascii="仿宋" w:eastAsia="仿宋" w:hAnsi="仿宋" w:cs="仿宋" w:hint="eastAsia"/>
                <w:bCs/>
                <w:snapToGrid w:val="0"/>
                <w:color w:val="000000" w:themeColor="text1"/>
                <w:spacing w:val="6"/>
                <w:kern w:val="0"/>
                <w:sz w:val="24"/>
                <w:szCs w:val="24"/>
              </w:rPr>
              <w:t>01农业</w:t>
            </w:r>
          </w:p>
        </w:tc>
        <w:tc>
          <w:tcPr>
            <w:tcW w:w="16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00D0B" w:rsidRDefault="00FD0360">
            <w:pPr>
              <w:widowControl/>
              <w:kinsoku w:val="0"/>
              <w:autoSpaceDE w:val="0"/>
              <w:autoSpaceDN w:val="0"/>
              <w:adjustRightInd w:val="0"/>
              <w:snapToGrid w:val="0"/>
              <w:spacing w:line="240" w:lineRule="auto"/>
              <w:ind w:firstLineChars="0" w:firstLine="0"/>
              <w:jc w:val="center"/>
              <w:textAlignment w:val="baseline"/>
              <w:rPr>
                <w:rFonts w:ascii="仿宋" w:eastAsia="仿宋" w:hAnsi="仿宋" w:cs="仿宋"/>
                <w:bCs/>
                <w:snapToGrid w:val="0"/>
                <w:color w:val="000000" w:themeColor="text1"/>
                <w:spacing w:val="6"/>
                <w:kern w:val="0"/>
                <w:sz w:val="24"/>
                <w:szCs w:val="24"/>
              </w:rPr>
            </w:pPr>
            <w:r>
              <w:rPr>
                <w:rFonts w:ascii="仿宋" w:eastAsia="仿宋" w:hAnsi="仿宋" w:cs="仿宋" w:hint="eastAsia"/>
                <w:bCs/>
                <w:snapToGrid w:val="0"/>
                <w:color w:val="000000" w:themeColor="text1"/>
                <w:spacing w:val="6"/>
                <w:kern w:val="0"/>
                <w:sz w:val="24"/>
                <w:szCs w:val="24"/>
              </w:rPr>
              <w:t>0.00</w:t>
            </w:r>
          </w:p>
        </w:tc>
        <w:tc>
          <w:tcPr>
            <w:tcW w:w="14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00D0B" w:rsidRDefault="00FD0360">
            <w:pPr>
              <w:widowControl/>
              <w:kinsoku w:val="0"/>
              <w:autoSpaceDE w:val="0"/>
              <w:autoSpaceDN w:val="0"/>
              <w:adjustRightInd w:val="0"/>
              <w:snapToGrid w:val="0"/>
              <w:spacing w:line="240" w:lineRule="auto"/>
              <w:ind w:firstLineChars="0" w:firstLine="0"/>
              <w:jc w:val="center"/>
              <w:textAlignment w:val="baseline"/>
              <w:rPr>
                <w:rFonts w:ascii="仿宋" w:eastAsia="仿宋" w:hAnsi="仿宋" w:cs="仿宋"/>
                <w:bCs/>
                <w:snapToGrid w:val="0"/>
                <w:color w:val="000000" w:themeColor="text1"/>
                <w:spacing w:val="6"/>
                <w:kern w:val="0"/>
                <w:sz w:val="24"/>
                <w:szCs w:val="24"/>
              </w:rPr>
            </w:pPr>
            <w:r>
              <w:rPr>
                <w:rFonts w:ascii="仿宋" w:eastAsia="仿宋" w:hAnsi="仿宋" w:cs="仿宋" w:hint="eastAsia"/>
                <w:bCs/>
                <w:snapToGrid w:val="0"/>
                <w:color w:val="000000" w:themeColor="text1"/>
                <w:spacing w:val="6"/>
                <w:kern w:val="0"/>
                <w:sz w:val="24"/>
                <w:szCs w:val="24"/>
              </w:rPr>
              <w:t>0.00%</w:t>
            </w:r>
          </w:p>
        </w:tc>
      </w:tr>
      <w:tr w:rsidR="00D00D0B">
        <w:trPr>
          <w:trHeight w:val="418"/>
        </w:trPr>
        <w:tc>
          <w:tcPr>
            <w:tcW w:w="3400" w:type="dxa"/>
            <w:vMerge/>
            <w:tcBorders>
              <w:left w:val="single" w:sz="4" w:space="0" w:color="000000"/>
              <w:bottom w:val="single" w:sz="4" w:space="0" w:color="000000"/>
              <w:right w:val="single" w:sz="4" w:space="0" w:color="000000"/>
            </w:tcBorders>
            <w:shd w:val="clear" w:color="auto" w:fill="auto"/>
            <w:noWrap/>
            <w:vAlign w:val="center"/>
          </w:tcPr>
          <w:p w:rsidR="00D00D0B" w:rsidRDefault="00D00D0B">
            <w:pPr>
              <w:widowControl/>
              <w:kinsoku w:val="0"/>
              <w:autoSpaceDE w:val="0"/>
              <w:autoSpaceDN w:val="0"/>
              <w:adjustRightInd w:val="0"/>
              <w:snapToGrid w:val="0"/>
              <w:spacing w:line="240" w:lineRule="auto"/>
              <w:ind w:firstLineChars="0" w:firstLine="0"/>
              <w:textAlignment w:val="baseline"/>
              <w:rPr>
                <w:rFonts w:ascii="仿宋" w:eastAsia="仿宋" w:hAnsi="仿宋" w:cs="仿宋"/>
                <w:bCs/>
                <w:snapToGrid w:val="0"/>
                <w:color w:val="000000" w:themeColor="text1"/>
                <w:spacing w:val="6"/>
                <w:kern w:val="0"/>
                <w:sz w:val="24"/>
                <w:szCs w:val="24"/>
              </w:rPr>
            </w:pPr>
          </w:p>
        </w:tc>
        <w:tc>
          <w:tcPr>
            <w:tcW w:w="1031" w:type="dxa"/>
            <w:vMerge/>
            <w:tcBorders>
              <w:left w:val="single" w:sz="4" w:space="0" w:color="000000"/>
              <w:bottom w:val="single" w:sz="4" w:space="0" w:color="000000"/>
              <w:right w:val="single" w:sz="4" w:space="0" w:color="000000"/>
            </w:tcBorders>
            <w:shd w:val="clear" w:color="auto" w:fill="auto"/>
            <w:noWrap/>
            <w:vAlign w:val="center"/>
          </w:tcPr>
          <w:p w:rsidR="00D00D0B" w:rsidRDefault="00D00D0B">
            <w:pPr>
              <w:widowControl/>
              <w:kinsoku w:val="0"/>
              <w:autoSpaceDE w:val="0"/>
              <w:autoSpaceDN w:val="0"/>
              <w:adjustRightInd w:val="0"/>
              <w:snapToGrid w:val="0"/>
              <w:spacing w:line="240" w:lineRule="auto"/>
              <w:ind w:firstLineChars="0" w:firstLine="0"/>
              <w:textAlignment w:val="baseline"/>
              <w:rPr>
                <w:rFonts w:ascii="仿宋" w:eastAsia="仿宋" w:hAnsi="仿宋" w:cs="仿宋"/>
                <w:bCs/>
                <w:snapToGrid w:val="0"/>
                <w:color w:val="000000" w:themeColor="text1"/>
                <w:spacing w:val="6"/>
                <w:kern w:val="0"/>
                <w:sz w:val="24"/>
                <w:szCs w:val="24"/>
              </w:rPr>
            </w:pPr>
          </w:p>
        </w:tc>
        <w:tc>
          <w:tcPr>
            <w:tcW w:w="177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00D0B" w:rsidRDefault="00FD0360">
            <w:pPr>
              <w:widowControl/>
              <w:kinsoku w:val="0"/>
              <w:autoSpaceDE w:val="0"/>
              <w:autoSpaceDN w:val="0"/>
              <w:adjustRightInd w:val="0"/>
              <w:snapToGrid w:val="0"/>
              <w:spacing w:line="240" w:lineRule="auto"/>
              <w:ind w:firstLineChars="0" w:firstLine="0"/>
              <w:jc w:val="center"/>
              <w:textAlignment w:val="baseline"/>
              <w:rPr>
                <w:rFonts w:ascii="仿宋" w:eastAsia="仿宋" w:hAnsi="仿宋" w:cs="仿宋"/>
                <w:bCs/>
                <w:snapToGrid w:val="0"/>
                <w:color w:val="000000" w:themeColor="text1"/>
                <w:spacing w:val="6"/>
                <w:kern w:val="0"/>
                <w:sz w:val="24"/>
                <w:szCs w:val="24"/>
              </w:rPr>
            </w:pPr>
            <w:r>
              <w:rPr>
                <w:rFonts w:ascii="仿宋" w:eastAsia="仿宋" w:hAnsi="仿宋" w:cs="仿宋" w:hint="eastAsia"/>
                <w:bCs/>
                <w:snapToGrid w:val="0"/>
                <w:color w:val="000000" w:themeColor="text1"/>
                <w:spacing w:val="6"/>
                <w:kern w:val="0"/>
                <w:sz w:val="24"/>
                <w:szCs w:val="24"/>
              </w:rPr>
              <w:t>02渔业</w:t>
            </w:r>
          </w:p>
        </w:tc>
        <w:tc>
          <w:tcPr>
            <w:tcW w:w="16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00D0B" w:rsidRDefault="00FD0360">
            <w:pPr>
              <w:widowControl/>
              <w:kinsoku w:val="0"/>
              <w:autoSpaceDE w:val="0"/>
              <w:autoSpaceDN w:val="0"/>
              <w:adjustRightInd w:val="0"/>
              <w:snapToGrid w:val="0"/>
              <w:spacing w:line="240" w:lineRule="auto"/>
              <w:ind w:firstLineChars="0" w:firstLine="0"/>
              <w:jc w:val="center"/>
              <w:textAlignment w:val="baseline"/>
              <w:rPr>
                <w:rFonts w:ascii="仿宋" w:eastAsia="仿宋" w:hAnsi="仿宋" w:cs="仿宋"/>
                <w:bCs/>
                <w:snapToGrid w:val="0"/>
                <w:color w:val="000000" w:themeColor="text1"/>
                <w:spacing w:val="6"/>
                <w:kern w:val="0"/>
                <w:sz w:val="24"/>
                <w:szCs w:val="24"/>
              </w:rPr>
            </w:pPr>
            <w:r>
              <w:rPr>
                <w:rFonts w:ascii="仿宋" w:eastAsia="仿宋" w:hAnsi="仿宋" w:cs="仿宋" w:hint="eastAsia"/>
                <w:bCs/>
                <w:snapToGrid w:val="0"/>
                <w:color w:val="000000" w:themeColor="text1"/>
                <w:spacing w:val="6"/>
                <w:kern w:val="0"/>
                <w:sz w:val="24"/>
                <w:szCs w:val="24"/>
              </w:rPr>
              <w:t>0.00</w:t>
            </w:r>
          </w:p>
        </w:tc>
        <w:tc>
          <w:tcPr>
            <w:tcW w:w="14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00D0B" w:rsidRDefault="00FD0360">
            <w:pPr>
              <w:widowControl/>
              <w:kinsoku w:val="0"/>
              <w:autoSpaceDE w:val="0"/>
              <w:autoSpaceDN w:val="0"/>
              <w:adjustRightInd w:val="0"/>
              <w:snapToGrid w:val="0"/>
              <w:spacing w:line="240" w:lineRule="auto"/>
              <w:ind w:firstLineChars="0" w:firstLine="0"/>
              <w:jc w:val="center"/>
              <w:textAlignment w:val="baseline"/>
              <w:rPr>
                <w:rFonts w:ascii="仿宋" w:eastAsia="仿宋" w:hAnsi="仿宋" w:cs="仿宋"/>
                <w:bCs/>
                <w:snapToGrid w:val="0"/>
                <w:color w:val="000000" w:themeColor="text1"/>
                <w:spacing w:val="6"/>
                <w:kern w:val="0"/>
                <w:sz w:val="24"/>
                <w:szCs w:val="24"/>
              </w:rPr>
            </w:pPr>
            <w:r>
              <w:rPr>
                <w:rFonts w:ascii="仿宋" w:eastAsia="仿宋" w:hAnsi="仿宋" w:cs="仿宋" w:hint="eastAsia"/>
                <w:bCs/>
                <w:snapToGrid w:val="0"/>
                <w:color w:val="000000" w:themeColor="text1"/>
                <w:spacing w:val="6"/>
                <w:kern w:val="0"/>
                <w:sz w:val="24"/>
                <w:szCs w:val="24"/>
              </w:rPr>
              <w:t>0.00%</w:t>
            </w:r>
          </w:p>
        </w:tc>
      </w:tr>
    </w:tbl>
    <w:p w:rsidR="00D00D0B" w:rsidRDefault="00FD0360" w:rsidP="00CC58E9">
      <w:pPr>
        <w:widowControl/>
        <w:kinsoku w:val="0"/>
        <w:autoSpaceDE w:val="0"/>
        <w:autoSpaceDN w:val="0"/>
        <w:adjustRightInd w:val="0"/>
        <w:snapToGrid w:val="0"/>
        <w:spacing w:beforeLines="50" w:afterLines="50" w:line="240" w:lineRule="auto"/>
        <w:ind w:firstLine="584"/>
        <w:textAlignment w:val="baseline"/>
        <w:rPr>
          <w:rFonts w:ascii="黑体" w:eastAsia="黑体" w:hAnsi="黑体" w:cs="黑体"/>
          <w:bCs/>
          <w:snapToGrid w:val="0"/>
          <w:color w:val="000000" w:themeColor="text1"/>
          <w:spacing w:val="6"/>
          <w:kern w:val="0"/>
          <w:sz w:val="28"/>
          <w:szCs w:val="28"/>
        </w:rPr>
      </w:pPr>
      <w:r>
        <w:rPr>
          <w:rFonts w:ascii="黑体" w:eastAsia="黑体" w:hAnsi="黑体" w:cs="黑体" w:hint="eastAsia"/>
          <w:bCs/>
          <w:snapToGrid w:val="0"/>
          <w:color w:val="000000" w:themeColor="text1"/>
          <w:spacing w:val="6"/>
          <w:kern w:val="0"/>
          <w:sz w:val="28"/>
          <w:szCs w:val="28"/>
        </w:rPr>
        <w:t>2）江苏省2025至2026年冬季寒潮压力测试结果</w:t>
      </w:r>
    </w:p>
    <w:p w:rsidR="00D00D0B" w:rsidRDefault="00FD0360" w:rsidP="00CC58E9">
      <w:pPr>
        <w:widowControl/>
        <w:kinsoku w:val="0"/>
        <w:autoSpaceDE w:val="0"/>
        <w:autoSpaceDN w:val="0"/>
        <w:adjustRightInd w:val="0"/>
        <w:snapToGrid w:val="0"/>
        <w:spacing w:beforeLines="50" w:line="240" w:lineRule="auto"/>
        <w:ind w:firstLine="584"/>
        <w:textAlignment w:val="baseline"/>
        <w:rPr>
          <w:rFonts w:ascii="仿宋" w:eastAsia="仿宋" w:hAnsi="仿宋" w:cs="仿宋" w:hint="eastAsia"/>
          <w:bCs/>
          <w:snapToGrid w:val="0"/>
          <w:color w:val="000000" w:themeColor="text1"/>
          <w:spacing w:val="6"/>
          <w:kern w:val="0"/>
          <w:sz w:val="28"/>
          <w:szCs w:val="28"/>
        </w:rPr>
      </w:pPr>
      <w:r>
        <w:rPr>
          <w:rFonts w:ascii="仿宋" w:eastAsia="仿宋" w:hAnsi="仿宋" w:cs="仿宋" w:hint="eastAsia"/>
          <w:bCs/>
          <w:snapToGrid w:val="0"/>
          <w:color w:val="000000" w:themeColor="text1"/>
          <w:spacing w:val="6"/>
          <w:kern w:val="0"/>
          <w:sz w:val="28"/>
          <w:szCs w:val="28"/>
        </w:rPr>
        <w:t>报告期内，本行在以下物理风险（寒潮）覆盖区域内，无贷款客户和信贷资产。</w:t>
      </w:r>
    </w:p>
    <w:p w:rsidR="00CC58E9" w:rsidRDefault="00CC58E9" w:rsidP="00CC58E9">
      <w:pPr>
        <w:widowControl/>
        <w:kinsoku w:val="0"/>
        <w:autoSpaceDE w:val="0"/>
        <w:autoSpaceDN w:val="0"/>
        <w:adjustRightInd w:val="0"/>
        <w:snapToGrid w:val="0"/>
        <w:spacing w:beforeLines="50" w:line="240" w:lineRule="auto"/>
        <w:ind w:firstLine="584"/>
        <w:textAlignment w:val="baseline"/>
        <w:rPr>
          <w:rFonts w:ascii="仿宋" w:eastAsia="仿宋" w:hAnsi="仿宋" w:cs="仿宋" w:hint="eastAsia"/>
          <w:bCs/>
          <w:snapToGrid w:val="0"/>
          <w:color w:val="000000" w:themeColor="text1"/>
          <w:spacing w:val="6"/>
          <w:kern w:val="0"/>
          <w:sz w:val="28"/>
          <w:szCs w:val="28"/>
        </w:rPr>
      </w:pPr>
    </w:p>
    <w:p w:rsidR="00CC58E9" w:rsidRDefault="00CC58E9" w:rsidP="00CC58E9">
      <w:pPr>
        <w:widowControl/>
        <w:kinsoku w:val="0"/>
        <w:autoSpaceDE w:val="0"/>
        <w:autoSpaceDN w:val="0"/>
        <w:adjustRightInd w:val="0"/>
        <w:snapToGrid w:val="0"/>
        <w:spacing w:beforeLines="50" w:line="240" w:lineRule="auto"/>
        <w:ind w:firstLine="584"/>
        <w:textAlignment w:val="baseline"/>
        <w:rPr>
          <w:rFonts w:ascii="仿宋" w:eastAsia="仿宋" w:hAnsi="仿宋" w:cs="仿宋" w:hint="eastAsia"/>
          <w:bCs/>
          <w:snapToGrid w:val="0"/>
          <w:color w:val="000000" w:themeColor="text1"/>
          <w:spacing w:val="6"/>
          <w:kern w:val="0"/>
          <w:sz w:val="28"/>
          <w:szCs w:val="28"/>
        </w:rPr>
      </w:pPr>
    </w:p>
    <w:p w:rsidR="00CC58E9" w:rsidRDefault="00CC58E9" w:rsidP="00CC58E9">
      <w:pPr>
        <w:widowControl/>
        <w:kinsoku w:val="0"/>
        <w:autoSpaceDE w:val="0"/>
        <w:autoSpaceDN w:val="0"/>
        <w:adjustRightInd w:val="0"/>
        <w:snapToGrid w:val="0"/>
        <w:spacing w:beforeLines="50" w:line="240" w:lineRule="auto"/>
        <w:ind w:firstLine="584"/>
        <w:textAlignment w:val="baseline"/>
        <w:rPr>
          <w:rFonts w:ascii="仿宋" w:eastAsia="仿宋" w:hAnsi="仿宋" w:cs="仿宋"/>
          <w:bCs/>
          <w:snapToGrid w:val="0"/>
          <w:color w:val="000000" w:themeColor="text1"/>
          <w:spacing w:val="6"/>
          <w:kern w:val="0"/>
          <w:sz w:val="28"/>
          <w:szCs w:val="28"/>
        </w:rPr>
      </w:pPr>
    </w:p>
    <w:p w:rsidR="00D00D0B" w:rsidRDefault="00FD0360">
      <w:pPr>
        <w:ind w:firstLineChars="0" w:firstLine="0"/>
        <w:jc w:val="center"/>
        <w:rPr>
          <w:rFonts w:ascii="黑体" w:eastAsia="黑体" w:hAnsi="黑体" w:cs="黑体"/>
          <w:sz w:val="24"/>
          <w:szCs w:val="24"/>
        </w:rPr>
      </w:pPr>
      <w:r>
        <w:rPr>
          <w:rFonts w:ascii="黑体" w:eastAsia="黑体" w:hAnsi="黑体" w:cs="黑体" w:hint="eastAsia"/>
          <w:sz w:val="24"/>
          <w:szCs w:val="24"/>
        </w:rPr>
        <w:lastRenderedPageBreak/>
        <w:t>表4 江苏省2025至2026年冬季寒潮压力测试结果</w:t>
      </w:r>
    </w:p>
    <w:tbl>
      <w:tblPr>
        <w:tblW w:w="9377" w:type="dxa"/>
        <w:tblInd w:w="88" w:type="dxa"/>
        <w:tblLayout w:type="fixed"/>
        <w:tblLook w:val="04A0"/>
      </w:tblPr>
      <w:tblGrid>
        <w:gridCol w:w="3397"/>
        <w:gridCol w:w="1051"/>
        <w:gridCol w:w="1753"/>
        <w:gridCol w:w="1629"/>
        <w:gridCol w:w="1547"/>
      </w:tblGrid>
      <w:tr w:rsidR="00D00D0B">
        <w:trPr>
          <w:trHeight w:val="470"/>
        </w:trPr>
        <w:tc>
          <w:tcPr>
            <w:tcW w:w="3397" w:type="dxa"/>
            <w:tcBorders>
              <w:top w:val="single" w:sz="4" w:space="0" w:color="000000"/>
              <w:left w:val="single" w:sz="4" w:space="0" w:color="000000"/>
              <w:bottom w:val="single" w:sz="4" w:space="0" w:color="000000"/>
              <w:right w:val="single" w:sz="4" w:space="0" w:color="000000"/>
            </w:tcBorders>
            <w:shd w:val="clear" w:color="auto" w:fill="E2EFD9" w:themeFill="accent6" w:themeFillTint="32"/>
            <w:noWrap/>
            <w:vAlign w:val="center"/>
          </w:tcPr>
          <w:p w:rsidR="00D00D0B" w:rsidRDefault="00FD0360">
            <w:pPr>
              <w:widowControl/>
              <w:kinsoku w:val="0"/>
              <w:autoSpaceDE w:val="0"/>
              <w:autoSpaceDN w:val="0"/>
              <w:adjustRightInd w:val="0"/>
              <w:snapToGrid w:val="0"/>
              <w:spacing w:line="240" w:lineRule="auto"/>
              <w:ind w:firstLineChars="0" w:firstLine="0"/>
              <w:jc w:val="center"/>
              <w:textAlignment w:val="baseline"/>
              <w:rPr>
                <w:rFonts w:ascii="黑体" w:eastAsia="黑体" w:hAnsi="黑体" w:cs="黑体"/>
                <w:bCs/>
                <w:snapToGrid w:val="0"/>
                <w:color w:val="000000" w:themeColor="text1"/>
                <w:spacing w:val="6"/>
                <w:kern w:val="0"/>
                <w:sz w:val="24"/>
                <w:szCs w:val="24"/>
              </w:rPr>
            </w:pPr>
            <w:r>
              <w:rPr>
                <w:rFonts w:ascii="黑体" w:eastAsia="黑体" w:hAnsi="黑体" w:cs="黑体" w:hint="eastAsia"/>
                <w:bCs/>
                <w:snapToGrid w:val="0"/>
                <w:color w:val="000000" w:themeColor="text1"/>
                <w:spacing w:val="6"/>
                <w:kern w:val="0"/>
                <w:sz w:val="24"/>
                <w:szCs w:val="24"/>
              </w:rPr>
              <w:t>物理风险（寒潮）覆盖区域</w:t>
            </w:r>
          </w:p>
        </w:tc>
        <w:tc>
          <w:tcPr>
            <w:tcW w:w="1051" w:type="dxa"/>
            <w:tcBorders>
              <w:top w:val="single" w:sz="4" w:space="0" w:color="000000"/>
              <w:left w:val="single" w:sz="4" w:space="0" w:color="000000"/>
              <w:bottom w:val="single" w:sz="4" w:space="0" w:color="000000"/>
              <w:right w:val="single" w:sz="4" w:space="0" w:color="000000"/>
            </w:tcBorders>
            <w:shd w:val="clear" w:color="auto" w:fill="E2EFD9" w:themeFill="accent6" w:themeFillTint="32"/>
            <w:noWrap/>
            <w:vAlign w:val="center"/>
          </w:tcPr>
          <w:p w:rsidR="00D00D0B" w:rsidRDefault="00FD0360">
            <w:pPr>
              <w:widowControl/>
              <w:kinsoku w:val="0"/>
              <w:autoSpaceDE w:val="0"/>
              <w:autoSpaceDN w:val="0"/>
              <w:adjustRightInd w:val="0"/>
              <w:snapToGrid w:val="0"/>
              <w:spacing w:line="240" w:lineRule="auto"/>
              <w:ind w:firstLineChars="0" w:firstLine="0"/>
              <w:jc w:val="center"/>
              <w:textAlignment w:val="baseline"/>
              <w:rPr>
                <w:rFonts w:ascii="黑体" w:eastAsia="黑体" w:hAnsi="黑体" w:cs="黑体"/>
                <w:bCs/>
                <w:snapToGrid w:val="0"/>
                <w:color w:val="000000" w:themeColor="text1"/>
                <w:spacing w:val="6"/>
                <w:kern w:val="0"/>
                <w:sz w:val="24"/>
                <w:szCs w:val="24"/>
              </w:rPr>
            </w:pPr>
            <w:r>
              <w:rPr>
                <w:rFonts w:ascii="黑体" w:eastAsia="黑体" w:hAnsi="黑体" w:cs="黑体" w:hint="eastAsia"/>
                <w:bCs/>
                <w:snapToGrid w:val="0"/>
                <w:color w:val="000000" w:themeColor="text1"/>
                <w:spacing w:val="6"/>
                <w:kern w:val="0"/>
                <w:sz w:val="24"/>
                <w:szCs w:val="24"/>
              </w:rPr>
              <w:t>年度</w:t>
            </w:r>
          </w:p>
        </w:tc>
        <w:tc>
          <w:tcPr>
            <w:tcW w:w="1753" w:type="dxa"/>
            <w:tcBorders>
              <w:top w:val="single" w:sz="4" w:space="0" w:color="000000"/>
              <w:left w:val="single" w:sz="4" w:space="0" w:color="000000"/>
              <w:bottom w:val="single" w:sz="4" w:space="0" w:color="000000"/>
              <w:right w:val="single" w:sz="4" w:space="0" w:color="000000"/>
            </w:tcBorders>
            <w:shd w:val="clear" w:color="auto" w:fill="E2EFD9" w:themeFill="accent6" w:themeFillTint="32"/>
            <w:noWrap/>
            <w:vAlign w:val="center"/>
          </w:tcPr>
          <w:p w:rsidR="00D00D0B" w:rsidRDefault="00FD0360">
            <w:pPr>
              <w:widowControl/>
              <w:kinsoku w:val="0"/>
              <w:autoSpaceDE w:val="0"/>
              <w:autoSpaceDN w:val="0"/>
              <w:adjustRightInd w:val="0"/>
              <w:snapToGrid w:val="0"/>
              <w:spacing w:line="240" w:lineRule="auto"/>
              <w:ind w:firstLineChars="0" w:firstLine="0"/>
              <w:jc w:val="center"/>
              <w:textAlignment w:val="baseline"/>
              <w:rPr>
                <w:rFonts w:ascii="黑体" w:eastAsia="黑体" w:hAnsi="黑体" w:cs="黑体"/>
                <w:bCs/>
                <w:snapToGrid w:val="0"/>
                <w:color w:val="000000" w:themeColor="text1"/>
                <w:spacing w:val="6"/>
                <w:kern w:val="0"/>
                <w:sz w:val="24"/>
                <w:szCs w:val="24"/>
              </w:rPr>
            </w:pPr>
            <w:r>
              <w:rPr>
                <w:rFonts w:ascii="黑体" w:eastAsia="黑体" w:hAnsi="黑体" w:cs="黑体" w:hint="eastAsia"/>
                <w:bCs/>
                <w:snapToGrid w:val="0"/>
                <w:color w:val="000000" w:themeColor="text1"/>
                <w:spacing w:val="6"/>
                <w:kern w:val="0"/>
                <w:sz w:val="24"/>
                <w:szCs w:val="24"/>
              </w:rPr>
              <w:t>物理风险敏感行业</w:t>
            </w:r>
          </w:p>
        </w:tc>
        <w:tc>
          <w:tcPr>
            <w:tcW w:w="1629" w:type="dxa"/>
            <w:tcBorders>
              <w:top w:val="single" w:sz="4" w:space="0" w:color="000000"/>
              <w:left w:val="single" w:sz="4" w:space="0" w:color="000000"/>
              <w:bottom w:val="single" w:sz="4" w:space="0" w:color="000000"/>
              <w:right w:val="single" w:sz="4" w:space="0" w:color="000000"/>
            </w:tcBorders>
            <w:shd w:val="clear" w:color="auto" w:fill="E2EFD9" w:themeFill="accent6" w:themeFillTint="32"/>
            <w:noWrap/>
            <w:vAlign w:val="center"/>
          </w:tcPr>
          <w:p w:rsidR="00D00D0B" w:rsidRDefault="00FD0360">
            <w:pPr>
              <w:widowControl/>
              <w:kinsoku w:val="0"/>
              <w:autoSpaceDE w:val="0"/>
              <w:autoSpaceDN w:val="0"/>
              <w:adjustRightInd w:val="0"/>
              <w:snapToGrid w:val="0"/>
              <w:spacing w:line="240" w:lineRule="auto"/>
              <w:ind w:firstLineChars="0" w:firstLine="0"/>
              <w:jc w:val="center"/>
              <w:textAlignment w:val="baseline"/>
              <w:rPr>
                <w:rFonts w:ascii="黑体" w:eastAsia="黑体" w:hAnsi="黑体" w:cs="黑体"/>
                <w:bCs/>
                <w:snapToGrid w:val="0"/>
                <w:color w:val="000000" w:themeColor="text1"/>
                <w:spacing w:val="6"/>
                <w:kern w:val="0"/>
                <w:sz w:val="24"/>
                <w:szCs w:val="24"/>
              </w:rPr>
            </w:pPr>
            <w:r>
              <w:rPr>
                <w:rFonts w:ascii="黑体" w:eastAsia="黑体" w:hAnsi="黑体" w:cs="黑体" w:hint="eastAsia"/>
                <w:bCs/>
                <w:snapToGrid w:val="0"/>
                <w:color w:val="000000" w:themeColor="text1"/>
                <w:spacing w:val="6"/>
                <w:kern w:val="0"/>
                <w:sz w:val="24"/>
                <w:szCs w:val="24"/>
              </w:rPr>
              <w:t>物理风险敏感行业贷款金额(万元)</w:t>
            </w:r>
          </w:p>
        </w:tc>
        <w:tc>
          <w:tcPr>
            <w:tcW w:w="1547" w:type="dxa"/>
            <w:tcBorders>
              <w:top w:val="single" w:sz="4" w:space="0" w:color="000000"/>
              <w:left w:val="single" w:sz="4" w:space="0" w:color="000000"/>
              <w:bottom w:val="single" w:sz="4" w:space="0" w:color="000000"/>
              <w:right w:val="single" w:sz="4" w:space="0" w:color="000000"/>
            </w:tcBorders>
            <w:shd w:val="clear" w:color="auto" w:fill="E2EFD9" w:themeFill="accent6" w:themeFillTint="32"/>
            <w:noWrap/>
            <w:vAlign w:val="center"/>
          </w:tcPr>
          <w:p w:rsidR="00D00D0B" w:rsidRDefault="00FD0360">
            <w:pPr>
              <w:widowControl/>
              <w:kinsoku w:val="0"/>
              <w:autoSpaceDE w:val="0"/>
              <w:autoSpaceDN w:val="0"/>
              <w:adjustRightInd w:val="0"/>
              <w:snapToGrid w:val="0"/>
              <w:spacing w:line="240" w:lineRule="auto"/>
              <w:ind w:firstLineChars="0" w:firstLine="0"/>
              <w:jc w:val="center"/>
              <w:textAlignment w:val="baseline"/>
              <w:rPr>
                <w:rFonts w:ascii="黑体" w:eastAsia="黑体" w:hAnsi="黑体" w:cs="黑体"/>
                <w:bCs/>
                <w:snapToGrid w:val="0"/>
                <w:color w:val="000000" w:themeColor="text1"/>
                <w:spacing w:val="6"/>
                <w:kern w:val="0"/>
                <w:sz w:val="24"/>
                <w:szCs w:val="24"/>
              </w:rPr>
            </w:pPr>
            <w:r>
              <w:rPr>
                <w:rFonts w:ascii="黑体" w:eastAsia="黑体" w:hAnsi="黑体" w:cs="黑体" w:hint="eastAsia"/>
                <w:bCs/>
                <w:snapToGrid w:val="0"/>
                <w:color w:val="000000" w:themeColor="text1"/>
                <w:spacing w:val="6"/>
                <w:kern w:val="0"/>
                <w:sz w:val="24"/>
                <w:szCs w:val="24"/>
              </w:rPr>
              <w:t>物理风险敏感行业贷款占比(%)</w:t>
            </w:r>
          </w:p>
        </w:tc>
      </w:tr>
      <w:tr w:rsidR="00D00D0B">
        <w:trPr>
          <w:trHeight w:val="418"/>
        </w:trPr>
        <w:tc>
          <w:tcPr>
            <w:tcW w:w="3397" w:type="dxa"/>
            <w:vMerge w:val="restart"/>
            <w:tcBorders>
              <w:top w:val="single" w:sz="4" w:space="0" w:color="000000"/>
              <w:left w:val="single" w:sz="4" w:space="0" w:color="000000"/>
              <w:right w:val="single" w:sz="4" w:space="0" w:color="000000"/>
            </w:tcBorders>
            <w:shd w:val="clear" w:color="auto" w:fill="auto"/>
            <w:noWrap/>
            <w:vAlign w:val="center"/>
          </w:tcPr>
          <w:p w:rsidR="00D00D0B" w:rsidRDefault="00FD0360">
            <w:pPr>
              <w:widowControl/>
              <w:kinsoku w:val="0"/>
              <w:autoSpaceDE w:val="0"/>
              <w:autoSpaceDN w:val="0"/>
              <w:adjustRightInd w:val="0"/>
              <w:snapToGrid w:val="0"/>
              <w:spacing w:line="240" w:lineRule="auto"/>
              <w:ind w:firstLineChars="0" w:firstLine="0"/>
              <w:textAlignment w:val="baseline"/>
              <w:rPr>
                <w:rFonts w:ascii="仿宋" w:eastAsia="仿宋" w:hAnsi="仿宋" w:cs="仿宋"/>
                <w:bCs/>
                <w:snapToGrid w:val="0"/>
                <w:color w:val="000000" w:themeColor="text1"/>
                <w:spacing w:val="6"/>
                <w:kern w:val="0"/>
                <w:sz w:val="24"/>
                <w:szCs w:val="24"/>
              </w:rPr>
            </w:pPr>
            <w:r>
              <w:rPr>
                <w:rFonts w:ascii="仿宋" w:eastAsia="仿宋" w:hAnsi="仿宋" w:cs="仿宋" w:hint="eastAsia"/>
                <w:bCs/>
                <w:snapToGrid w:val="0"/>
                <w:color w:val="000000" w:themeColor="text1"/>
                <w:spacing w:val="6"/>
                <w:kern w:val="0"/>
                <w:sz w:val="24"/>
                <w:szCs w:val="24"/>
              </w:rPr>
              <w:t>邳州、东海、赣榆、仪征、泰兴、姜堰</w:t>
            </w:r>
          </w:p>
        </w:tc>
        <w:tc>
          <w:tcPr>
            <w:tcW w:w="1051" w:type="dxa"/>
            <w:vMerge w:val="restart"/>
            <w:tcBorders>
              <w:top w:val="single" w:sz="4" w:space="0" w:color="000000"/>
              <w:left w:val="single" w:sz="4" w:space="0" w:color="000000"/>
              <w:right w:val="single" w:sz="4" w:space="0" w:color="000000"/>
            </w:tcBorders>
            <w:shd w:val="clear" w:color="auto" w:fill="auto"/>
            <w:noWrap/>
            <w:vAlign w:val="center"/>
          </w:tcPr>
          <w:p w:rsidR="00D00D0B" w:rsidRDefault="00FD0360">
            <w:pPr>
              <w:widowControl/>
              <w:kinsoku w:val="0"/>
              <w:autoSpaceDE w:val="0"/>
              <w:autoSpaceDN w:val="0"/>
              <w:adjustRightInd w:val="0"/>
              <w:snapToGrid w:val="0"/>
              <w:spacing w:line="240" w:lineRule="auto"/>
              <w:ind w:firstLineChars="0" w:firstLine="0"/>
              <w:textAlignment w:val="baseline"/>
              <w:rPr>
                <w:rFonts w:ascii="仿宋" w:eastAsia="仿宋" w:hAnsi="仿宋" w:cs="仿宋"/>
                <w:bCs/>
                <w:snapToGrid w:val="0"/>
                <w:color w:val="000000" w:themeColor="text1"/>
                <w:spacing w:val="6"/>
                <w:kern w:val="0"/>
                <w:sz w:val="24"/>
                <w:szCs w:val="24"/>
              </w:rPr>
            </w:pPr>
            <w:r>
              <w:rPr>
                <w:rFonts w:ascii="仿宋" w:eastAsia="仿宋" w:hAnsi="仿宋" w:cs="仿宋" w:hint="eastAsia"/>
                <w:bCs/>
                <w:snapToGrid w:val="0"/>
                <w:color w:val="000000" w:themeColor="text1"/>
                <w:spacing w:val="6"/>
                <w:kern w:val="0"/>
                <w:sz w:val="24"/>
                <w:szCs w:val="24"/>
              </w:rPr>
              <w:t>2025</w:t>
            </w:r>
          </w:p>
        </w:tc>
        <w:tc>
          <w:tcPr>
            <w:tcW w:w="17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00D0B" w:rsidRDefault="00FD0360">
            <w:pPr>
              <w:widowControl/>
              <w:kinsoku w:val="0"/>
              <w:autoSpaceDE w:val="0"/>
              <w:autoSpaceDN w:val="0"/>
              <w:adjustRightInd w:val="0"/>
              <w:snapToGrid w:val="0"/>
              <w:spacing w:line="240" w:lineRule="auto"/>
              <w:ind w:firstLineChars="0" w:firstLine="0"/>
              <w:jc w:val="center"/>
              <w:textAlignment w:val="baseline"/>
              <w:rPr>
                <w:rFonts w:ascii="仿宋" w:eastAsia="仿宋" w:hAnsi="仿宋" w:cs="仿宋"/>
                <w:bCs/>
                <w:snapToGrid w:val="0"/>
                <w:color w:val="000000" w:themeColor="text1"/>
                <w:spacing w:val="6"/>
                <w:kern w:val="0"/>
                <w:sz w:val="24"/>
                <w:szCs w:val="24"/>
              </w:rPr>
            </w:pPr>
            <w:r>
              <w:rPr>
                <w:rFonts w:ascii="仿宋" w:eastAsia="仿宋" w:hAnsi="仿宋" w:cs="仿宋" w:hint="eastAsia"/>
                <w:bCs/>
                <w:snapToGrid w:val="0"/>
                <w:color w:val="000000" w:themeColor="text1"/>
                <w:spacing w:val="6"/>
                <w:kern w:val="0"/>
                <w:sz w:val="24"/>
                <w:szCs w:val="24"/>
              </w:rPr>
              <w:t>01农业</w:t>
            </w:r>
          </w:p>
        </w:tc>
        <w:tc>
          <w:tcPr>
            <w:tcW w:w="162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00D0B" w:rsidRDefault="00FD0360">
            <w:pPr>
              <w:widowControl/>
              <w:kinsoku w:val="0"/>
              <w:autoSpaceDE w:val="0"/>
              <w:autoSpaceDN w:val="0"/>
              <w:adjustRightInd w:val="0"/>
              <w:snapToGrid w:val="0"/>
              <w:spacing w:line="240" w:lineRule="auto"/>
              <w:ind w:firstLineChars="0" w:firstLine="0"/>
              <w:jc w:val="center"/>
              <w:textAlignment w:val="baseline"/>
              <w:rPr>
                <w:rFonts w:ascii="仿宋" w:eastAsia="仿宋" w:hAnsi="仿宋" w:cs="仿宋"/>
                <w:bCs/>
                <w:snapToGrid w:val="0"/>
                <w:color w:val="000000" w:themeColor="text1"/>
                <w:spacing w:val="6"/>
                <w:kern w:val="0"/>
                <w:sz w:val="24"/>
                <w:szCs w:val="24"/>
              </w:rPr>
            </w:pPr>
            <w:r>
              <w:rPr>
                <w:rFonts w:ascii="仿宋" w:eastAsia="仿宋" w:hAnsi="仿宋" w:cs="仿宋" w:hint="eastAsia"/>
                <w:bCs/>
                <w:snapToGrid w:val="0"/>
                <w:color w:val="000000" w:themeColor="text1"/>
                <w:spacing w:val="6"/>
                <w:kern w:val="0"/>
                <w:sz w:val="24"/>
                <w:szCs w:val="24"/>
              </w:rPr>
              <w:t>0.00</w:t>
            </w:r>
          </w:p>
        </w:tc>
        <w:tc>
          <w:tcPr>
            <w:tcW w:w="154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00D0B" w:rsidRDefault="00FD0360">
            <w:pPr>
              <w:widowControl/>
              <w:kinsoku w:val="0"/>
              <w:autoSpaceDE w:val="0"/>
              <w:autoSpaceDN w:val="0"/>
              <w:adjustRightInd w:val="0"/>
              <w:snapToGrid w:val="0"/>
              <w:spacing w:line="240" w:lineRule="auto"/>
              <w:ind w:firstLineChars="0" w:firstLine="0"/>
              <w:jc w:val="center"/>
              <w:textAlignment w:val="baseline"/>
              <w:rPr>
                <w:rFonts w:ascii="仿宋" w:eastAsia="仿宋" w:hAnsi="仿宋" w:cs="仿宋"/>
                <w:bCs/>
                <w:snapToGrid w:val="0"/>
                <w:color w:val="000000" w:themeColor="text1"/>
                <w:spacing w:val="6"/>
                <w:kern w:val="0"/>
                <w:sz w:val="24"/>
                <w:szCs w:val="24"/>
              </w:rPr>
            </w:pPr>
            <w:r>
              <w:rPr>
                <w:rFonts w:ascii="仿宋" w:eastAsia="仿宋" w:hAnsi="仿宋" w:cs="仿宋" w:hint="eastAsia"/>
                <w:bCs/>
                <w:snapToGrid w:val="0"/>
                <w:color w:val="000000" w:themeColor="text1"/>
                <w:spacing w:val="6"/>
                <w:kern w:val="0"/>
                <w:sz w:val="24"/>
                <w:szCs w:val="24"/>
              </w:rPr>
              <w:t>0.00%</w:t>
            </w:r>
          </w:p>
        </w:tc>
      </w:tr>
      <w:tr w:rsidR="00D00D0B">
        <w:trPr>
          <w:trHeight w:val="418"/>
        </w:trPr>
        <w:tc>
          <w:tcPr>
            <w:tcW w:w="3397" w:type="dxa"/>
            <w:vMerge/>
            <w:tcBorders>
              <w:left w:val="single" w:sz="4" w:space="0" w:color="000000"/>
              <w:bottom w:val="single" w:sz="4" w:space="0" w:color="000000"/>
              <w:right w:val="single" w:sz="4" w:space="0" w:color="000000"/>
            </w:tcBorders>
            <w:shd w:val="clear" w:color="auto" w:fill="auto"/>
            <w:noWrap/>
            <w:vAlign w:val="center"/>
          </w:tcPr>
          <w:p w:rsidR="00D00D0B" w:rsidRDefault="00D00D0B">
            <w:pPr>
              <w:widowControl/>
              <w:kinsoku w:val="0"/>
              <w:autoSpaceDE w:val="0"/>
              <w:autoSpaceDN w:val="0"/>
              <w:adjustRightInd w:val="0"/>
              <w:snapToGrid w:val="0"/>
              <w:spacing w:line="240" w:lineRule="auto"/>
              <w:ind w:firstLineChars="0" w:firstLine="0"/>
              <w:textAlignment w:val="baseline"/>
              <w:rPr>
                <w:rFonts w:ascii="仿宋" w:eastAsia="仿宋" w:hAnsi="仿宋" w:cs="仿宋"/>
                <w:bCs/>
                <w:snapToGrid w:val="0"/>
                <w:color w:val="000000" w:themeColor="text1"/>
                <w:spacing w:val="6"/>
                <w:kern w:val="0"/>
                <w:sz w:val="24"/>
                <w:szCs w:val="24"/>
              </w:rPr>
            </w:pPr>
          </w:p>
        </w:tc>
        <w:tc>
          <w:tcPr>
            <w:tcW w:w="1051" w:type="dxa"/>
            <w:vMerge/>
            <w:tcBorders>
              <w:left w:val="single" w:sz="4" w:space="0" w:color="000000"/>
              <w:bottom w:val="single" w:sz="4" w:space="0" w:color="000000"/>
              <w:right w:val="single" w:sz="4" w:space="0" w:color="000000"/>
            </w:tcBorders>
            <w:shd w:val="clear" w:color="auto" w:fill="auto"/>
            <w:noWrap/>
            <w:vAlign w:val="center"/>
          </w:tcPr>
          <w:p w:rsidR="00D00D0B" w:rsidRDefault="00D00D0B">
            <w:pPr>
              <w:widowControl/>
              <w:kinsoku w:val="0"/>
              <w:autoSpaceDE w:val="0"/>
              <w:autoSpaceDN w:val="0"/>
              <w:adjustRightInd w:val="0"/>
              <w:snapToGrid w:val="0"/>
              <w:spacing w:line="240" w:lineRule="auto"/>
              <w:ind w:firstLineChars="0" w:firstLine="0"/>
              <w:textAlignment w:val="baseline"/>
              <w:rPr>
                <w:rFonts w:ascii="仿宋" w:eastAsia="仿宋" w:hAnsi="仿宋" w:cs="仿宋"/>
                <w:bCs/>
                <w:snapToGrid w:val="0"/>
                <w:color w:val="000000" w:themeColor="text1"/>
                <w:spacing w:val="6"/>
                <w:kern w:val="0"/>
                <w:sz w:val="24"/>
                <w:szCs w:val="24"/>
              </w:rPr>
            </w:pPr>
          </w:p>
        </w:tc>
        <w:tc>
          <w:tcPr>
            <w:tcW w:w="17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00D0B" w:rsidRDefault="00FD0360">
            <w:pPr>
              <w:widowControl/>
              <w:kinsoku w:val="0"/>
              <w:autoSpaceDE w:val="0"/>
              <w:autoSpaceDN w:val="0"/>
              <w:adjustRightInd w:val="0"/>
              <w:snapToGrid w:val="0"/>
              <w:spacing w:line="240" w:lineRule="auto"/>
              <w:ind w:firstLineChars="0" w:firstLine="0"/>
              <w:jc w:val="center"/>
              <w:textAlignment w:val="baseline"/>
              <w:rPr>
                <w:rFonts w:ascii="仿宋" w:eastAsia="仿宋" w:hAnsi="仿宋" w:cs="仿宋"/>
                <w:bCs/>
                <w:snapToGrid w:val="0"/>
                <w:color w:val="000000" w:themeColor="text1"/>
                <w:spacing w:val="6"/>
                <w:kern w:val="0"/>
                <w:sz w:val="24"/>
                <w:szCs w:val="24"/>
              </w:rPr>
            </w:pPr>
            <w:r>
              <w:rPr>
                <w:rFonts w:ascii="仿宋" w:eastAsia="仿宋" w:hAnsi="仿宋" w:cs="仿宋" w:hint="eastAsia"/>
                <w:bCs/>
                <w:snapToGrid w:val="0"/>
                <w:color w:val="000000" w:themeColor="text1"/>
                <w:spacing w:val="6"/>
                <w:kern w:val="0"/>
                <w:sz w:val="24"/>
                <w:szCs w:val="24"/>
              </w:rPr>
              <w:t>02渔业</w:t>
            </w:r>
          </w:p>
        </w:tc>
        <w:tc>
          <w:tcPr>
            <w:tcW w:w="162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00D0B" w:rsidRDefault="00FD0360">
            <w:pPr>
              <w:widowControl/>
              <w:kinsoku w:val="0"/>
              <w:autoSpaceDE w:val="0"/>
              <w:autoSpaceDN w:val="0"/>
              <w:adjustRightInd w:val="0"/>
              <w:snapToGrid w:val="0"/>
              <w:spacing w:line="240" w:lineRule="auto"/>
              <w:ind w:firstLineChars="0" w:firstLine="0"/>
              <w:jc w:val="center"/>
              <w:textAlignment w:val="baseline"/>
              <w:rPr>
                <w:rFonts w:ascii="仿宋" w:eastAsia="仿宋" w:hAnsi="仿宋" w:cs="仿宋"/>
                <w:bCs/>
                <w:snapToGrid w:val="0"/>
                <w:color w:val="000000" w:themeColor="text1"/>
                <w:spacing w:val="6"/>
                <w:kern w:val="0"/>
                <w:sz w:val="24"/>
                <w:szCs w:val="24"/>
              </w:rPr>
            </w:pPr>
            <w:r>
              <w:rPr>
                <w:rFonts w:ascii="仿宋" w:eastAsia="仿宋" w:hAnsi="仿宋" w:cs="仿宋" w:hint="eastAsia"/>
                <w:bCs/>
                <w:snapToGrid w:val="0"/>
                <w:color w:val="000000" w:themeColor="text1"/>
                <w:spacing w:val="6"/>
                <w:kern w:val="0"/>
                <w:sz w:val="24"/>
                <w:szCs w:val="24"/>
              </w:rPr>
              <w:t>0.00</w:t>
            </w:r>
          </w:p>
        </w:tc>
        <w:tc>
          <w:tcPr>
            <w:tcW w:w="154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00D0B" w:rsidRDefault="00FD0360">
            <w:pPr>
              <w:widowControl/>
              <w:kinsoku w:val="0"/>
              <w:autoSpaceDE w:val="0"/>
              <w:autoSpaceDN w:val="0"/>
              <w:adjustRightInd w:val="0"/>
              <w:snapToGrid w:val="0"/>
              <w:spacing w:line="240" w:lineRule="auto"/>
              <w:ind w:firstLineChars="0" w:firstLine="0"/>
              <w:jc w:val="center"/>
              <w:textAlignment w:val="baseline"/>
              <w:rPr>
                <w:rFonts w:ascii="仿宋" w:eastAsia="仿宋" w:hAnsi="仿宋" w:cs="仿宋"/>
                <w:bCs/>
                <w:snapToGrid w:val="0"/>
                <w:color w:val="000000" w:themeColor="text1"/>
                <w:spacing w:val="6"/>
                <w:kern w:val="0"/>
                <w:sz w:val="24"/>
                <w:szCs w:val="24"/>
              </w:rPr>
            </w:pPr>
            <w:r>
              <w:rPr>
                <w:rFonts w:ascii="仿宋" w:eastAsia="仿宋" w:hAnsi="仿宋" w:cs="仿宋" w:hint="eastAsia"/>
                <w:bCs/>
                <w:snapToGrid w:val="0"/>
                <w:color w:val="000000" w:themeColor="text1"/>
                <w:spacing w:val="6"/>
                <w:kern w:val="0"/>
                <w:sz w:val="24"/>
                <w:szCs w:val="24"/>
              </w:rPr>
              <w:t>0.00%</w:t>
            </w:r>
          </w:p>
        </w:tc>
      </w:tr>
    </w:tbl>
    <w:p w:rsidR="00D00D0B" w:rsidRDefault="00FD0360" w:rsidP="00CC58E9">
      <w:pPr>
        <w:widowControl/>
        <w:kinsoku w:val="0"/>
        <w:autoSpaceDE w:val="0"/>
        <w:autoSpaceDN w:val="0"/>
        <w:adjustRightInd w:val="0"/>
        <w:snapToGrid w:val="0"/>
        <w:spacing w:beforeLines="50" w:line="240" w:lineRule="auto"/>
        <w:ind w:firstLine="584"/>
        <w:textAlignment w:val="baseline"/>
        <w:rPr>
          <w:rFonts w:ascii="仿宋" w:eastAsia="仿宋" w:hAnsi="仿宋" w:cs="仿宋"/>
          <w:bCs/>
          <w:snapToGrid w:val="0"/>
          <w:color w:val="000000" w:themeColor="text1"/>
          <w:spacing w:val="6"/>
          <w:kern w:val="0"/>
          <w:sz w:val="28"/>
          <w:szCs w:val="28"/>
        </w:rPr>
      </w:pPr>
      <w:r>
        <w:rPr>
          <w:rFonts w:ascii="仿宋" w:eastAsia="仿宋" w:hAnsi="仿宋" w:cs="仿宋" w:hint="eastAsia"/>
          <w:bCs/>
          <w:snapToGrid w:val="0"/>
          <w:color w:val="000000" w:themeColor="text1"/>
          <w:spacing w:val="6"/>
          <w:kern w:val="0"/>
          <w:sz w:val="28"/>
          <w:szCs w:val="28"/>
        </w:rPr>
        <w:t>根据热浪、寒潮、台风等预测结果，结合本行贷款资产地理分布，综合评估结果显示，本行农业和渔业贷款资产面临的物理风险有限。</w:t>
      </w:r>
    </w:p>
    <w:p w:rsidR="00D00D0B" w:rsidRDefault="00D00D0B" w:rsidP="00CC58E9">
      <w:pPr>
        <w:widowControl/>
        <w:kinsoku w:val="0"/>
        <w:autoSpaceDE w:val="0"/>
        <w:autoSpaceDN w:val="0"/>
        <w:adjustRightInd w:val="0"/>
        <w:snapToGrid w:val="0"/>
        <w:spacing w:beforeLines="50" w:line="240" w:lineRule="auto"/>
        <w:ind w:firstLine="584"/>
        <w:textAlignment w:val="baseline"/>
        <w:rPr>
          <w:rFonts w:ascii="仿宋" w:eastAsia="仿宋" w:hAnsi="仿宋" w:cs="仿宋"/>
          <w:bCs/>
          <w:snapToGrid w:val="0"/>
          <w:color w:val="000000" w:themeColor="text1"/>
          <w:spacing w:val="6"/>
          <w:kern w:val="0"/>
          <w:sz w:val="28"/>
          <w:szCs w:val="28"/>
        </w:rPr>
      </w:pPr>
    </w:p>
    <w:p w:rsidR="00D00D0B" w:rsidRDefault="00FD0360" w:rsidP="00DB75FB">
      <w:pPr>
        <w:pStyle w:val="20"/>
        <w:spacing w:before="156" w:after="62"/>
      </w:pPr>
      <w:bookmarkStart w:id="15" w:name="_Toc26994"/>
      <w:r>
        <w:rPr>
          <w:rFonts w:hint="eastAsia"/>
        </w:rPr>
        <w:t>4.2 转型风险评估结果</w:t>
      </w:r>
      <w:bookmarkEnd w:id="15"/>
    </w:p>
    <w:p w:rsidR="00D00D0B" w:rsidRDefault="00FD0360" w:rsidP="00CC58E9">
      <w:pPr>
        <w:widowControl/>
        <w:kinsoku w:val="0"/>
        <w:autoSpaceDE w:val="0"/>
        <w:autoSpaceDN w:val="0"/>
        <w:adjustRightInd w:val="0"/>
        <w:snapToGrid w:val="0"/>
        <w:spacing w:beforeLines="50" w:afterLines="50" w:line="240" w:lineRule="auto"/>
        <w:ind w:firstLine="584"/>
        <w:textAlignment w:val="baseline"/>
        <w:rPr>
          <w:rFonts w:ascii="黑体" w:eastAsia="黑体" w:hAnsi="黑体" w:cs="黑体"/>
          <w:bCs/>
          <w:snapToGrid w:val="0"/>
          <w:color w:val="000000" w:themeColor="text1"/>
          <w:spacing w:val="6"/>
          <w:kern w:val="0"/>
          <w:sz w:val="28"/>
          <w:szCs w:val="28"/>
        </w:rPr>
      </w:pPr>
      <w:r>
        <w:rPr>
          <w:rFonts w:ascii="黑体" w:eastAsia="黑体" w:hAnsi="黑体" w:cs="黑体" w:hint="eastAsia"/>
          <w:bCs/>
          <w:snapToGrid w:val="0"/>
          <w:color w:val="000000" w:themeColor="text1"/>
          <w:spacing w:val="6"/>
          <w:kern w:val="0"/>
          <w:sz w:val="28"/>
          <w:szCs w:val="28"/>
        </w:rPr>
        <w:t>1）企业违约概率</w:t>
      </w:r>
    </w:p>
    <w:p w:rsidR="00D00D0B" w:rsidRDefault="00FD0360">
      <w:pPr>
        <w:widowControl/>
        <w:kinsoku w:val="0"/>
        <w:autoSpaceDE w:val="0"/>
        <w:autoSpaceDN w:val="0"/>
        <w:adjustRightInd w:val="0"/>
        <w:snapToGrid w:val="0"/>
        <w:spacing w:line="240" w:lineRule="auto"/>
        <w:ind w:firstLine="584"/>
        <w:textAlignment w:val="baseline"/>
        <w:rPr>
          <w:rFonts w:ascii="仿宋" w:eastAsia="仿宋" w:hAnsi="仿宋" w:cs="仿宋"/>
          <w:bCs/>
          <w:snapToGrid w:val="0"/>
          <w:color w:val="000000" w:themeColor="text1"/>
          <w:spacing w:val="6"/>
          <w:kern w:val="0"/>
          <w:sz w:val="28"/>
          <w:szCs w:val="28"/>
        </w:rPr>
      </w:pPr>
      <w:r>
        <w:rPr>
          <w:rFonts w:ascii="仿宋" w:eastAsia="仿宋" w:hAnsi="仿宋" w:cs="仿宋" w:hint="eastAsia"/>
          <w:bCs/>
          <w:snapToGrid w:val="0"/>
          <w:color w:val="000000" w:themeColor="text1"/>
          <w:spacing w:val="6"/>
          <w:kern w:val="0"/>
          <w:sz w:val="28"/>
          <w:szCs w:val="28"/>
        </w:rPr>
        <w:t>基于“有序转型”情景设定，本行</w:t>
      </w:r>
      <w:r>
        <w:rPr>
          <w:rFonts w:ascii="仿宋" w:eastAsia="仿宋" w:hAnsi="仿宋" w:cs="仿宋" w:hint="eastAsia"/>
          <w:bCs/>
          <w:snapToGrid w:val="0"/>
          <w:color w:val="000000" w:themeColor="text1"/>
          <w:spacing w:val="6"/>
          <w:kern w:val="0"/>
          <w:sz w:val="28"/>
          <w:szCs w:val="28"/>
          <w:u w:val="single"/>
        </w:rPr>
        <w:t xml:space="preserve"> 2 </w:t>
      </w:r>
      <w:r w:rsidRPr="00CC58E9">
        <w:rPr>
          <w:rFonts w:ascii="仿宋" w:eastAsia="仿宋" w:hAnsi="仿宋" w:cs="仿宋" w:hint="eastAsia"/>
          <w:bCs/>
          <w:snapToGrid w:val="0"/>
          <w:color w:val="000000" w:themeColor="text1"/>
          <w:spacing w:val="6"/>
          <w:kern w:val="0"/>
          <w:sz w:val="28"/>
          <w:szCs w:val="28"/>
          <w:u w:val="single"/>
        </w:rPr>
        <w:t>家</w:t>
      </w:r>
      <w:r>
        <w:rPr>
          <w:rFonts w:ascii="仿宋" w:eastAsia="仿宋" w:hAnsi="仿宋" w:cs="仿宋" w:hint="eastAsia"/>
          <w:bCs/>
          <w:snapToGrid w:val="0"/>
          <w:color w:val="000000" w:themeColor="text1"/>
          <w:spacing w:val="6"/>
          <w:kern w:val="0"/>
          <w:sz w:val="28"/>
          <w:szCs w:val="28"/>
          <w:u w:val="single"/>
        </w:rPr>
        <w:t xml:space="preserve"> 钢铁 </w:t>
      </w:r>
      <w:r>
        <w:rPr>
          <w:rFonts w:ascii="仿宋" w:eastAsia="仿宋" w:hAnsi="仿宋" w:cs="仿宋" w:hint="eastAsia"/>
          <w:bCs/>
          <w:snapToGrid w:val="0"/>
          <w:color w:val="000000" w:themeColor="text1"/>
          <w:spacing w:val="6"/>
          <w:kern w:val="0"/>
          <w:sz w:val="28"/>
          <w:szCs w:val="28"/>
        </w:rPr>
        <w:t>行业样本企业2025年在极端情况下转型风险违约概率差异较小，其中违约概率在10%以上的</w:t>
      </w:r>
      <w:r>
        <w:rPr>
          <w:rFonts w:ascii="仿宋" w:eastAsia="仿宋" w:hAnsi="仿宋" w:cs="仿宋" w:hint="eastAsia"/>
          <w:bCs/>
          <w:snapToGrid w:val="0"/>
          <w:color w:val="000000" w:themeColor="text1"/>
          <w:spacing w:val="6"/>
          <w:kern w:val="0"/>
          <w:sz w:val="28"/>
          <w:szCs w:val="28"/>
          <w:u w:val="single"/>
        </w:rPr>
        <w:t xml:space="preserve"> 0 </w:t>
      </w:r>
      <w:r>
        <w:rPr>
          <w:rFonts w:ascii="仿宋" w:eastAsia="仿宋" w:hAnsi="仿宋" w:cs="仿宋" w:hint="eastAsia"/>
          <w:bCs/>
          <w:snapToGrid w:val="0"/>
          <w:color w:val="000000" w:themeColor="text1"/>
          <w:spacing w:val="6"/>
          <w:kern w:val="0"/>
          <w:sz w:val="28"/>
          <w:szCs w:val="28"/>
        </w:rPr>
        <w:t>家，违约概率在5%～10%的</w:t>
      </w:r>
      <w:r>
        <w:rPr>
          <w:rFonts w:ascii="仿宋" w:eastAsia="仿宋" w:hAnsi="仿宋" w:cs="仿宋" w:hint="eastAsia"/>
          <w:bCs/>
          <w:snapToGrid w:val="0"/>
          <w:color w:val="000000" w:themeColor="text1"/>
          <w:spacing w:val="6"/>
          <w:kern w:val="0"/>
          <w:sz w:val="28"/>
          <w:szCs w:val="28"/>
          <w:u w:val="single"/>
        </w:rPr>
        <w:t xml:space="preserve"> 0 </w:t>
      </w:r>
      <w:r>
        <w:rPr>
          <w:rFonts w:ascii="仿宋" w:eastAsia="仿宋" w:hAnsi="仿宋" w:cs="仿宋" w:hint="eastAsia"/>
          <w:bCs/>
          <w:snapToGrid w:val="0"/>
          <w:color w:val="000000" w:themeColor="text1"/>
          <w:spacing w:val="6"/>
          <w:kern w:val="0"/>
          <w:sz w:val="28"/>
          <w:szCs w:val="28"/>
        </w:rPr>
        <w:t>家，违约概率在5%以下的</w:t>
      </w:r>
      <w:r>
        <w:rPr>
          <w:rFonts w:ascii="仿宋" w:eastAsia="仿宋" w:hAnsi="仿宋" w:cs="仿宋" w:hint="eastAsia"/>
          <w:bCs/>
          <w:snapToGrid w:val="0"/>
          <w:color w:val="000000" w:themeColor="text1"/>
          <w:spacing w:val="6"/>
          <w:kern w:val="0"/>
          <w:sz w:val="28"/>
          <w:szCs w:val="28"/>
          <w:u w:val="single"/>
        </w:rPr>
        <w:t xml:space="preserve"> 2 </w:t>
      </w:r>
      <w:r>
        <w:rPr>
          <w:rFonts w:ascii="仿宋" w:eastAsia="仿宋" w:hAnsi="仿宋" w:cs="仿宋" w:hint="eastAsia"/>
          <w:bCs/>
          <w:snapToGrid w:val="0"/>
          <w:color w:val="000000" w:themeColor="text1"/>
          <w:spacing w:val="6"/>
          <w:kern w:val="0"/>
          <w:sz w:val="28"/>
          <w:szCs w:val="28"/>
        </w:rPr>
        <w:t>家。</w:t>
      </w:r>
    </w:p>
    <w:p w:rsidR="00D00D0B" w:rsidRDefault="00FD0360" w:rsidP="00CC58E9">
      <w:pPr>
        <w:widowControl/>
        <w:kinsoku w:val="0"/>
        <w:autoSpaceDE w:val="0"/>
        <w:autoSpaceDN w:val="0"/>
        <w:adjustRightInd w:val="0"/>
        <w:snapToGrid w:val="0"/>
        <w:spacing w:beforeLines="50" w:afterLines="50" w:line="240" w:lineRule="auto"/>
        <w:ind w:firstLine="584"/>
        <w:textAlignment w:val="baseline"/>
        <w:rPr>
          <w:rFonts w:ascii="黑体" w:eastAsia="黑体" w:hAnsi="黑体" w:cs="黑体"/>
          <w:bCs/>
          <w:snapToGrid w:val="0"/>
          <w:color w:val="000000" w:themeColor="text1"/>
          <w:spacing w:val="6"/>
          <w:kern w:val="0"/>
          <w:sz w:val="28"/>
          <w:szCs w:val="28"/>
        </w:rPr>
      </w:pPr>
      <w:r>
        <w:rPr>
          <w:rFonts w:ascii="黑体" w:eastAsia="黑体" w:hAnsi="黑体" w:cs="黑体" w:hint="eastAsia"/>
          <w:bCs/>
          <w:snapToGrid w:val="0"/>
          <w:color w:val="000000" w:themeColor="text1"/>
          <w:spacing w:val="6"/>
          <w:kern w:val="0"/>
          <w:sz w:val="28"/>
          <w:szCs w:val="28"/>
        </w:rPr>
        <w:t>2）行业贷款预期损失</w:t>
      </w:r>
    </w:p>
    <w:p w:rsidR="00D00D0B" w:rsidRDefault="00FD0360" w:rsidP="00CC58E9">
      <w:pPr>
        <w:widowControl/>
        <w:kinsoku w:val="0"/>
        <w:autoSpaceDE w:val="0"/>
        <w:autoSpaceDN w:val="0"/>
        <w:adjustRightInd w:val="0"/>
        <w:snapToGrid w:val="0"/>
        <w:spacing w:beforeLines="50" w:line="240" w:lineRule="auto"/>
        <w:ind w:firstLine="584"/>
        <w:textAlignment w:val="baseline"/>
        <w:rPr>
          <w:rFonts w:ascii="仿宋" w:eastAsia="仿宋" w:hAnsi="仿宋" w:cs="仿宋"/>
          <w:bCs/>
          <w:snapToGrid w:val="0"/>
          <w:color w:val="000000" w:themeColor="text1"/>
          <w:spacing w:val="6"/>
          <w:kern w:val="0"/>
          <w:sz w:val="28"/>
          <w:szCs w:val="28"/>
        </w:rPr>
      </w:pPr>
      <w:r>
        <w:rPr>
          <w:rFonts w:ascii="仿宋" w:eastAsia="仿宋" w:hAnsi="仿宋" w:cs="仿宋" w:hint="eastAsia"/>
          <w:bCs/>
          <w:snapToGrid w:val="0"/>
          <w:color w:val="000000" w:themeColor="text1"/>
          <w:spacing w:val="6"/>
          <w:kern w:val="0"/>
          <w:sz w:val="28"/>
          <w:szCs w:val="28"/>
        </w:rPr>
        <w:t>基于“有序转型”情景设定，本行样本企业2025年在极端情况下转型风险行业贷款预期损失分行业表现如下：</w:t>
      </w:r>
    </w:p>
    <w:p w:rsidR="00D00D0B" w:rsidRDefault="00FD0360">
      <w:pPr>
        <w:ind w:firstLineChars="0" w:firstLine="0"/>
        <w:jc w:val="center"/>
        <w:rPr>
          <w:rFonts w:ascii="黑体" w:eastAsia="黑体" w:hAnsi="黑体" w:cs="黑体"/>
          <w:sz w:val="24"/>
          <w:szCs w:val="24"/>
        </w:rPr>
      </w:pPr>
      <w:r>
        <w:rPr>
          <w:rFonts w:ascii="黑体" w:eastAsia="黑体" w:hAnsi="黑体" w:cs="黑体" w:hint="eastAsia"/>
          <w:sz w:val="24"/>
          <w:szCs w:val="24"/>
        </w:rPr>
        <w:t>表5 行业压力测试结果（2025）</w:t>
      </w:r>
    </w:p>
    <w:tbl>
      <w:tblPr>
        <w:tblW w:w="9498" w:type="dxa"/>
        <w:jc w:val="center"/>
        <w:tblLayout w:type="fixed"/>
        <w:tblLook w:val="04A0"/>
      </w:tblPr>
      <w:tblGrid>
        <w:gridCol w:w="4466"/>
        <w:gridCol w:w="1186"/>
        <w:gridCol w:w="1387"/>
        <w:gridCol w:w="2459"/>
      </w:tblGrid>
      <w:tr w:rsidR="00D00D0B">
        <w:trPr>
          <w:trHeight w:val="392"/>
          <w:jc w:val="center"/>
        </w:trPr>
        <w:tc>
          <w:tcPr>
            <w:tcW w:w="4466" w:type="dxa"/>
            <w:tcBorders>
              <w:top w:val="single" w:sz="4" w:space="0" w:color="000000"/>
              <w:left w:val="single" w:sz="4" w:space="0" w:color="000000"/>
              <w:bottom w:val="single" w:sz="4" w:space="0" w:color="000000"/>
              <w:right w:val="single" w:sz="4" w:space="0" w:color="000000"/>
            </w:tcBorders>
            <w:shd w:val="clear" w:color="auto" w:fill="E2EFD9" w:themeFill="accent6" w:themeFillTint="32"/>
            <w:noWrap/>
          </w:tcPr>
          <w:p w:rsidR="00D00D0B" w:rsidRDefault="00FD0360">
            <w:pPr>
              <w:widowControl/>
              <w:kinsoku w:val="0"/>
              <w:autoSpaceDE w:val="0"/>
              <w:autoSpaceDN w:val="0"/>
              <w:adjustRightInd w:val="0"/>
              <w:snapToGrid w:val="0"/>
              <w:spacing w:line="240" w:lineRule="auto"/>
              <w:ind w:firstLineChars="0" w:firstLine="0"/>
              <w:jc w:val="center"/>
              <w:textAlignment w:val="baseline"/>
              <w:rPr>
                <w:rFonts w:ascii="黑体" w:eastAsia="黑体" w:hAnsi="黑体" w:cs="黑体"/>
                <w:bCs/>
                <w:snapToGrid w:val="0"/>
                <w:color w:val="000000" w:themeColor="text1"/>
                <w:spacing w:val="6"/>
                <w:kern w:val="0"/>
                <w:sz w:val="24"/>
                <w:szCs w:val="24"/>
              </w:rPr>
            </w:pPr>
            <w:r>
              <w:rPr>
                <w:rFonts w:ascii="黑体" w:eastAsia="黑体" w:hAnsi="黑体" w:cs="黑体" w:hint="eastAsia"/>
                <w:bCs/>
                <w:snapToGrid w:val="0"/>
                <w:color w:val="000000" w:themeColor="text1"/>
                <w:spacing w:val="6"/>
                <w:kern w:val="0"/>
                <w:sz w:val="24"/>
                <w:szCs w:val="24"/>
              </w:rPr>
              <w:t>情景设定</w:t>
            </w:r>
          </w:p>
        </w:tc>
        <w:tc>
          <w:tcPr>
            <w:tcW w:w="1186" w:type="dxa"/>
            <w:tcBorders>
              <w:top w:val="single" w:sz="4" w:space="0" w:color="000000"/>
              <w:left w:val="single" w:sz="4" w:space="0" w:color="000000"/>
              <w:bottom w:val="single" w:sz="4" w:space="0" w:color="000000"/>
              <w:right w:val="single" w:sz="4" w:space="0" w:color="000000"/>
            </w:tcBorders>
            <w:shd w:val="clear" w:color="auto" w:fill="E2EFD9" w:themeFill="accent6" w:themeFillTint="32"/>
            <w:noWrap/>
          </w:tcPr>
          <w:p w:rsidR="00D00D0B" w:rsidRDefault="00FD0360">
            <w:pPr>
              <w:widowControl/>
              <w:kinsoku w:val="0"/>
              <w:autoSpaceDE w:val="0"/>
              <w:autoSpaceDN w:val="0"/>
              <w:adjustRightInd w:val="0"/>
              <w:snapToGrid w:val="0"/>
              <w:spacing w:line="240" w:lineRule="auto"/>
              <w:ind w:firstLineChars="0" w:firstLine="0"/>
              <w:jc w:val="center"/>
              <w:textAlignment w:val="baseline"/>
              <w:rPr>
                <w:rFonts w:ascii="黑体" w:eastAsia="黑体" w:hAnsi="黑体" w:cs="黑体"/>
                <w:bCs/>
                <w:snapToGrid w:val="0"/>
                <w:color w:val="000000" w:themeColor="text1"/>
                <w:spacing w:val="6"/>
                <w:kern w:val="0"/>
                <w:sz w:val="24"/>
                <w:szCs w:val="24"/>
              </w:rPr>
            </w:pPr>
            <w:r>
              <w:rPr>
                <w:rFonts w:ascii="黑体" w:eastAsia="黑体" w:hAnsi="黑体" w:cs="黑体" w:hint="eastAsia"/>
                <w:bCs/>
                <w:snapToGrid w:val="0"/>
                <w:color w:val="000000" w:themeColor="text1"/>
                <w:spacing w:val="6"/>
                <w:kern w:val="0"/>
                <w:sz w:val="24"/>
                <w:szCs w:val="24"/>
              </w:rPr>
              <w:t>年度</w:t>
            </w:r>
          </w:p>
        </w:tc>
        <w:tc>
          <w:tcPr>
            <w:tcW w:w="1387" w:type="dxa"/>
            <w:tcBorders>
              <w:top w:val="single" w:sz="4" w:space="0" w:color="000000"/>
              <w:left w:val="single" w:sz="4" w:space="0" w:color="000000"/>
              <w:bottom w:val="single" w:sz="4" w:space="0" w:color="000000"/>
              <w:right w:val="single" w:sz="4" w:space="0" w:color="000000"/>
            </w:tcBorders>
            <w:shd w:val="clear" w:color="auto" w:fill="E2EFD9" w:themeFill="accent6" w:themeFillTint="32"/>
            <w:noWrap/>
          </w:tcPr>
          <w:p w:rsidR="00D00D0B" w:rsidRDefault="00FD0360">
            <w:pPr>
              <w:widowControl/>
              <w:kinsoku w:val="0"/>
              <w:autoSpaceDE w:val="0"/>
              <w:autoSpaceDN w:val="0"/>
              <w:adjustRightInd w:val="0"/>
              <w:snapToGrid w:val="0"/>
              <w:spacing w:line="240" w:lineRule="auto"/>
              <w:ind w:firstLineChars="0" w:firstLine="0"/>
              <w:jc w:val="center"/>
              <w:textAlignment w:val="baseline"/>
              <w:rPr>
                <w:rFonts w:ascii="黑体" w:eastAsia="黑体" w:hAnsi="黑体" w:cs="黑体"/>
                <w:bCs/>
                <w:snapToGrid w:val="0"/>
                <w:color w:val="000000" w:themeColor="text1"/>
                <w:spacing w:val="6"/>
                <w:kern w:val="0"/>
                <w:sz w:val="24"/>
                <w:szCs w:val="24"/>
              </w:rPr>
            </w:pPr>
            <w:r>
              <w:rPr>
                <w:rFonts w:ascii="黑体" w:eastAsia="黑体" w:hAnsi="黑体" w:cs="黑体" w:hint="eastAsia"/>
                <w:bCs/>
                <w:snapToGrid w:val="0"/>
                <w:color w:val="000000" w:themeColor="text1"/>
                <w:spacing w:val="6"/>
                <w:kern w:val="0"/>
                <w:sz w:val="24"/>
                <w:szCs w:val="24"/>
              </w:rPr>
              <w:t>行业名称</w:t>
            </w:r>
          </w:p>
        </w:tc>
        <w:tc>
          <w:tcPr>
            <w:tcW w:w="2459" w:type="dxa"/>
            <w:tcBorders>
              <w:top w:val="single" w:sz="4" w:space="0" w:color="000000"/>
              <w:left w:val="single" w:sz="4" w:space="0" w:color="000000"/>
              <w:bottom w:val="single" w:sz="4" w:space="0" w:color="000000"/>
              <w:right w:val="single" w:sz="4" w:space="0" w:color="000000"/>
            </w:tcBorders>
            <w:shd w:val="clear" w:color="auto" w:fill="E2EFD9" w:themeFill="accent6" w:themeFillTint="32"/>
            <w:noWrap/>
          </w:tcPr>
          <w:p w:rsidR="00D00D0B" w:rsidRDefault="00FD0360">
            <w:pPr>
              <w:widowControl/>
              <w:kinsoku w:val="0"/>
              <w:autoSpaceDE w:val="0"/>
              <w:autoSpaceDN w:val="0"/>
              <w:adjustRightInd w:val="0"/>
              <w:snapToGrid w:val="0"/>
              <w:spacing w:line="240" w:lineRule="auto"/>
              <w:ind w:firstLineChars="0" w:firstLine="0"/>
              <w:jc w:val="center"/>
              <w:textAlignment w:val="baseline"/>
              <w:rPr>
                <w:rFonts w:ascii="黑体" w:eastAsia="黑体" w:hAnsi="黑体" w:cs="黑体"/>
                <w:bCs/>
                <w:snapToGrid w:val="0"/>
                <w:color w:val="000000" w:themeColor="text1"/>
                <w:spacing w:val="6"/>
                <w:kern w:val="0"/>
                <w:sz w:val="24"/>
                <w:szCs w:val="24"/>
              </w:rPr>
            </w:pPr>
            <w:r>
              <w:rPr>
                <w:rFonts w:ascii="黑体" w:eastAsia="黑体" w:hAnsi="黑体" w:cs="黑体" w:hint="eastAsia"/>
                <w:bCs/>
                <w:snapToGrid w:val="0"/>
                <w:color w:val="000000" w:themeColor="text1"/>
                <w:spacing w:val="6"/>
                <w:kern w:val="0"/>
                <w:sz w:val="24"/>
                <w:szCs w:val="24"/>
              </w:rPr>
              <w:t>行业贷款预期损失（万元）</w:t>
            </w:r>
          </w:p>
        </w:tc>
      </w:tr>
      <w:tr w:rsidR="00D00D0B">
        <w:trPr>
          <w:trHeight w:val="401"/>
          <w:jc w:val="center"/>
        </w:trPr>
        <w:tc>
          <w:tcPr>
            <w:tcW w:w="4466" w:type="dxa"/>
            <w:tcBorders>
              <w:top w:val="single" w:sz="4" w:space="0" w:color="000000"/>
              <w:left w:val="single" w:sz="4" w:space="0" w:color="000000"/>
              <w:bottom w:val="single" w:sz="4" w:space="0" w:color="000000"/>
              <w:right w:val="single" w:sz="4" w:space="0" w:color="000000"/>
            </w:tcBorders>
            <w:shd w:val="clear" w:color="auto" w:fill="auto"/>
            <w:noWrap/>
          </w:tcPr>
          <w:p w:rsidR="00D00D0B" w:rsidRDefault="00FD0360">
            <w:pPr>
              <w:widowControl/>
              <w:ind w:firstLineChars="0" w:firstLine="0"/>
              <w:jc w:val="center"/>
              <w:textAlignment w:val="top"/>
              <w:rPr>
                <w:rFonts w:ascii="仿宋" w:eastAsia="仿宋" w:hAnsi="仿宋" w:cs="仿宋"/>
                <w:color w:val="000000" w:themeColor="text1"/>
                <w:kern w:val="0"/>
                <w:sz w:val="24"/>
                <w:szCs w:val="24"/>
              </w:rPr>
            </w:pPr>
            <w:r>
              <w:rPr>
                <w:rFonts w:ascii="仿宋" w:eastAsia="仿宋" w:hAnsi="仿宋" w:cs="仿宋" w:hint="eastAsia"/>
                <w:color w:val="000000" w:themeColor="text1"/>
                <w:kern w:val="0"/>
                <w:sz w:val="24"/>
                <w:szCs w:val="24"/>
              </w:rPr>
              <w:t>ADVANCE_2020_1.5C-2100（有序转型）</w:t>
            </w:r>
          </w:p>
        </w:tc>
        <w:tc>
          <w:tcPr>
            <w:tcW w:w="1186" w:type="dxa"/>
            <w:tcBorders>
              <w:top w:val="single" w:sz="4" w:space="0" w:color="000000"/>
              <w:left w:val="single" w:sz="4" w:space="0" w:color="000000"/>
              <w:bottom w:val="single" w:sz="4" w:space="0" w:color="000000"/>
              <w:right w:val="single" w:sz="4" w:space="0" w:color="000000"/>
            </w:tcBorders>
            <w:shd w:val="clear" w:color="auto" w:fill="auto"/>
            <w:noWrap/>
          </w:tcPr>
          <w:p w:rsidR="00D00D0B" w:rsidRDefault="00FD0360">
            <w:pPr>
              <w:widowControl/>
              <w:ind w:firstLineChars="0" w:firstLine="0"/>
              <w:jc w:val="center"/>
              <w:textAlignment w:val="top"/>
              <w:rPr>
                <w:rFonts w:ascii="仿宋" w:eastAsia="仿宋" w:hAnsi="仿宋" w:cs="仿宋"/>
                <w:color w:val="000000" w:themeColor="text1"/>
                <w:kern w:val="0"/>
                <w:sz w:val="24"/>
                <w:szCs w:val="24"/>
              </w:rPr>
            </w:pPr>
            <w:r>
              <w:rPr>
                <w:rFonts w:ascii="仿宋" w:eastAsia="仿宋" w:hAnsi="仿宋" w:cs="仿宋" w:hint="eastAsia"/>
                <w:color w:val="000000" w:themeColor="text1"/>
                <w:kern w:val="0"/>
                <w:sz w:val="24"/>
                <w:szCs w:val="24"/>
              </w:rPr>
              <w:t>2025</w:t>
            </w:r>
          </w:p>
        </w:tc>
        <w:tc>
          <w:tcPr>
            <w:tcW w:w="138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00D0B" w:rsidRDefault="00FD0360">
            <w:pPr>
              <w:widowControl/>
              <w:kinsoku w:val="0"/>
              <w:autoSpaceDE w:val="0"/>
              <w:autoSpaceDN w:val="0"/>
              <w:adjustRightInd w:val="0"/>
              <w:snapToGrid w:val="0"/>
              <w:spacing w:line="240" w:lineRule="auto"/>
              <w:ind w:firstLineChars="0" w:firstLine="0"/>
              <w:jc w:val="center"/>
              <w:textAlignment w:val="baseline"/>
              <w:rPr>
                <w:rFonts w:ascii="仿宋" w:eastAsia="仿宋" w:hAnsi="仿宋" w:cs="仿宋"/>
                <w:bCs/>
                <w:snapToGrid w:val="0"/>
                <w:color w:val="000000" w:themeColor="text1"/>
                <w:spacing w:val="6"/>
                <w:kern w:val="0"/>
                <w:sz w:val="24"/>
                <w:szCs w:val="24"/>
              </w:rPr>
            </w:pPr>
            <w:r>
              <w:rPr>
                <w:rFonts w:ascii="仿宋" w:eastAsia="仿宋" w:hAnsi="仿宋" w:cs="仿宋" w:hint="eastAsia"/>
                <w:bCs/>
                <w:snapToGrid w:val="0"/>
                <w:color w:val="000000" w:themeColor="text1"/>
                <w:spacing w:val="6"/>
                <w:kern w:val="0"/>
                <w:sz w:val="24"/>
                <w:szCs w:val="24"/>
              </w:rPr>
              <w:t>钢铁</w:t>
            </w:r>
          </w:p>
        </w:tc>
        <w:tc>
          <w:tcPr>
            <w:tcW w:w="245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00D0B" w:rsidRDefault="00FD0360">
            <w:pPr>
              <w:widowControl/>
              <w:kinsoku w:val="0"/>
              <w:autoSpaceDE w:val="0"/>
              <w:autoSpaceDN w:val="0"/>
              <w:adjustRightInd w:val="0"/>
              <w:snapToGrid w:val="0"/>
              <w:spacing w:line="240" w:lineRule="auto"/>
              <w:ind w:firstLineChars="0" w:firstLine="0"/>
              <w:jc w:val="center"/>
              <w:textAlignment w:val="baseline"/>
              <w:rPr>
                <w:rFonts w:ascii="仿宋" w:eastAsia="仿宋" w:hAnsi="仿宋" w:cs="仿宋"/>
                <w:bCs/>
                <w:snapToGrid w:val="0"/>
                <w:color w:val="000000" w:themeColor="text1"/>
                <w:spacing w:val="6"/>
                <w:kern w:val="0"/>
                <w:sz w:val="24"/>
                <w:szCs w:val="24"/>
              </w:rPr>
            </w:pPr>
            <w:r>
              <w:rPr>
                <w:rFonts w:ascii="仿宋" w:eastAsia="仿宋" w:hAnsi="仿宋" w:cs="仿宋" w:hint="eastAsia"/>
                <w:bCs/>
                <w:snapToGrid w:val="0"/>
                <w:color w:val="000000" w:themeColor="text1"/>
                <w:spacing w:val="6"/>
                <w:kern w:val="0"/>
                <w:sz w:val="24"/>
                <w:szCs w:val="24"/>
              </w:rPr>
              <w:t>0.47</w:t>
            </w:r>
          </w:p>
        </w:tc>
      </w:tr>
    </w:tbl>
    <w:p w:rsidR="00D00D0B" w:rsidRDefault="00FD0360">
      <w:pPr>
        <w:widowControl/>
        <w:kinsoku w:val="0"/>
        <w:autoSpaceDE w:val="0"/>
        <w:autoSpaceDN w:val="0"/>
        <w:adjustRightInd w:val="0"/>
        <w:snapToGrid w:val="0"/>
        <w:spacing w:line="240" w:lineRule="auto"/>
        <w:ind w:firstLineChars="0" w:firstLine="0"/>
        <w:jc w:val="center"/>
        <w:textAlignment w:val="baseline"/>
        <w:rPr>
          <w:rFonts w:ascii="仿宋" w:eastAsia="仿宋" w:hAnsi="仿宋" w:cs="仿宋"/>
          <w:bCs/>
          <w:snapToGrid w:val="0"/>
          <w:color w:val="000000" w:themeColor="text1"/>
          <w:spacing w:val="6"/>
          <w:kern w:val="0"/>
          <w:sz w:val="21"/>
          <w:szCs w:val="21"/>
        </w:rPr>
      </w:pPr>
      <w:r>
        <w:rPr>
          <w:rFonts w:ascii="仿宋" w:eastAsia="仿宋" w:hAnsi="仿宋" w:cs="仿宋" w:hint="eastAsia"/>
          <w:bCs/>
          <w:snapToGrid w:val="0"/>
          <w:color w:val="000000" w:themeColor="text1"/>
          <w:spacing w:val="6"/>
          <w:kern w:val="0"/>
          <w:sz w:val="21"/>
          <w:szCs w:val="21"/>
        </w:rPr>
        <w:t>行业贷款预期损失额：对应情景和年度，极端情况下，行业样本资产压力测试预期贷款损失金额。</w:t>
      </w:r>
    </w:p>
    <w:p w:rsidR="00D00D0B" w:rsidRDefault="00FD0360" w:rsidP="00CC58E9">
      <w:pPr>
        <w:widowControl/>
        <w:kinsoku w:val="0"/>
        <w:autoSpaceDE w:val="0"/>
        <w:autoSpaceDN w:val="0"/>
        <w:adjustRightInd w:val="0"/>
        <w:snapToGrid w:val="0"/>
        <w:spacing w:beforeLines="50" w:afterLines="50" w:line="240" w:lineRule="auto"/>
        <w:ind w:firstLine="584"/>
        <w:textAlignment w:val="baseline"/>
        <w:rPr>
          <w:rFonts w:ascii="黑体" w:eastAsia="黑体" w:hAnsi="黑体" w:cs="黑体"/>
          <w:bCs/>
          <w:snapToGrid w:val="0"/>
          <w:color w:val="000000" w:themeColor="text1"/>
          <w:spacing w:val="6"/>
          <w:kern w:val="0"/>
          <w:sz w:val="28"/>
          <w:szCs w:val="28"/>
        </w:rPr>
      </w:pPr>
      <w:r>
        <w:rPr>
          <w:rFonts w:ascii="黑体" w:eastAsia="黑体" w:hAnsi="黑体" w:cs="黑体" w:hint="eastAsia"/>
          <w:bCs/>
          <w:snapToGrid w:val="0"/>
          <w:color w:val="000000" w:themeColor="text1"/>
          <w:spacing w:val="6"/>
          <w:kern w:val="0"/>
          <w:sz w:val="28"/>
          <w:szCs w:val="28"/>
        </w:rPr>
        <w:t>3）银行贷款预期损失率</w:t>
      </w:r>
    </w:p>
    <w:p w:rsidR="00D00D0B" w:rsidRDefault="00FD0360">
      <w:pPr>
        <w:widowControl/>
        <w:kinsoku w:val="0"/>
        <w:autoSpaceDE w:val="0"/>
        <w:autoSpaceDN w:val="0"/>
        <w:adjustRightInd w:val="0"/>
        <w:snapToGrid w:val="0"/>
        <w:spacing w:line="240" w:lineRule="auto"/>
        <w:ind w:firstLine="584"/>
        <w:textAlignment w:val="baseline"/>
        <w:rPr>
          <w:rFonts w:ascii="仿宋" w:eastAsia="仿宋" w:hAnsi="仿宋" w:cs="仿宋"/>
          <w:bCs/>
          <w:snapToGrid w:val="0"/>
          <w:color w:val="000000" w:themeColor="text1"/>
          <w:spacing w:val="6"/>
          <w:kern w:val="0"/>
          <w:sz w:val="28"/>
          <w:szCs w:val="28"/>
        </w:rPr>
      </w:pPr>
      <w:r>
        <w:rPr>
          <w:rFonts w:ascii="仿宋" w:eastAsia="仿宋" w:hAnsi="仿宋" w:cs="仿宋" w:hint="eastAsia"/>
          <w:bCs/>
          <w:snapToGrid w:val="0"/>
          <w:color w:val="000000" w:themeColor="text1"/>
          <w:spacing w:val="6"/>
          <w:kern w:val="0"/>
          <w:sz w:val="28"/>
          <w:szCs w:val="28"/>
        </w:rPr>
        <w:t>基于“有序转型”情景设定，本行高碳行业资产组合在极端情况下银行贷款预期损失率在未来几年呈现逐年下降态势，预期自2025年的</w:t>
      </w:r>
      <w:r>
        <w:rPr>
          <w:rFonts w:ascii="仿宋" w:eastAsia="仿宋" w:hAnsi="仿宋" w:cs="仿宋" w:hint="eastAsia"/>
          <w:bCs/>
          <w:snapToGrid w:val="0"/>
          <w:color w:val="000000" w:themeColor="text1"/>
          <w:spacing w:val="6"/>
          <w:kern w:val="0"/>
          <w:sz w:val="28"/>
          <w:szCs w:val="28"/>
          <w:u w:val="single"/>
        </w:rPr>
        <w:t xml:space="preserve"> 0.0905% </w:t>
      </w:r>
      <w:r>
        <w:rPr>
          <w:rFonts w:ascii="仿宋" w:eastAsia="仿宋" w:hAnsi="仿宋" w:cs="仿宋" w:hint="eastAsia"/>
          <w:bCs/>
          <w:snapToGrid w:val="0"/>
          <w:color w:val="000000" w:themeColor="text1"/>
          <w:spacing w:val="6"/>
          <w:kern w:val="0"/>
          <w:sz w:val="28"/>
          <w:szCs w:val="28"/>
        </w:rPr>
        <w:t>起逐年递减，至2030年降至</w:t>
      </w:r>
      <w:r>
        <w:rPr>
          <w:rFonts w:ascii="仿宋" w:eastAsia="仿宋" w:hAnsi="仿宋" w:cs="仿宋" w:hint="eastAsia"/>
          <w:bCs/>
          <w:snapToGrid w:val="0"/>
          <w:color w:val="000000" w:themeColor="text1"/>
          <w:spacing w:val="6"/>
          <w:kern w:val="0"/>
          <w:sz w:val="28"/>
          <w:szCs w:val="28"/>
          <w:u w:val="single"/>
        </w:rPr>
        <w:t xml:space="preserve"> 0.0000% </w:t>
      </w:r>
      <w:r>
        <w:rPr>
          <w:rFonts w:ascii="仿宋" w:eastAsia="仿宋" w:hAnsi="仿宋" w:cs="仿宋" w:hint="eastAsia"/>
          <w:bCs/>
          <w:snapToGrid w:val="0"/>
          <w:color w:val="000000" w:themeColor="text1"/>
          <w:spacing w:val="6"/>
          <w:kern w:val="0"/>
          <w:sz w:val="28"/>
          <w:szCs w:val="28"/>
        </w:rPr>
        <w:t>。</w:t>
      </w:r>
    </w:p>
    <w:p w:rsidR="00D00D0B" w:rsidRDefault="00FD0360">
      <w:pPr>
        <w:ind w:firstLineChars="0" w:firstLine="0"/>
        <w:jc w:val="center"/>
        <w:rPr>
          <w:rFonts w:ascii="黑体" w:eastAsia="黑体" w:hAnsi="黑体" w:cs="黑体"/>
          <w:sz w:val="24"/>
          <w:szCs w:val="24"/>
        </w:rPr>
      </w:pPr>
      <w:r>
        <w:rPr>
          <w:rFonts w:ascii="黑体" w:eastAsia="黑体" w:hAnsi="黑体" w:cs="黑体" w:hint="eastAsia"/>
          <w:sz w:val="24"/>
          <w:szCs w:val="24"/>
        </w:rPr>
        <w:t>表6 银行压力测试结果（2025～2030）</w:t>
      </w:r>
    </w:p>
    <w:tbl>
      <w:tblPr>
        <w:tblW w:w="9318" w:type="dxa"/>
        <w:jc w:val="center"/>
        <w:tblLayout w:type="fixed"/>
        <w:tblLook w:val="04A0"/>
      </w:tblPr>
      <w:tblGrid>
        <w:gridCol w:w="5549"/>
        <w:gridCol w:w="1093"/>
        <w:gridCol w:w="2676"/>
      </w:tblGrid>
      <w:tr w:rsidR="00D00D0B">
        <w:trPr>
          <w:trHeight w:val="447"/>
          <w:jc w:val="center"/>
        </w:trPr>
        <w:tc>
          <w:tcPr>
            <w:tcW w:w="5549" w:type="dxa"/>
            <w:tcBorders>
              <w:top w:val="single" w:sz="4" w:space="0" w:color="000000"/>
              <w:left w:val="single" w:sz="4" w:space="0" w:color="000000"/>
              <w:bottom w:val="single" w:sz="4" w:space="0" w:color="000000"/>
              <w:right w:val="single" w:sz="4" w:space="0" w:color="000000"/>
            </w:tcBorders>
            <w:shd w:val="clear" w:color="auto" w:fill="E2EFD9" w:themeFill="accent6" w:themeFillTint="32"/>
            <w:noWrap/>
          </w:tcPr>
          <w:p w:rsidR="00D00D0B" w:rsidRDefault="00FD0360">
            <w:pPr>
              <w:widowControl/>
              <w:kinsoku w:val="0"/>
              <w:autoSpaceDE w:val="0"/>
              <w:autoSpaceDN w:val="0"/>
              <w:adjustRightInd w:val="0"/>
              <w:snapToGrid w:val="0"/>
              <w:spacing w:line="240" w:lineRule="auto"/>
              <w:ind w:firstLineChars="0" w:firstLine="0"/>
              <w:jc w:val="center"/>
              <w:textAlignment w:val="baseline"/>
              <w:rPr>
                <w:rFonts w:ascii="黑体" w:eastAsia="黑体" w:hAnsi="黑体" w:cs="黑体"/>
                <w:bCs/>
                <w:snapToGrid w:val="0"/>
                <w:color w:val="000000" w:themeColor="text1"/>
                <w:spacing w:val="6"/>
                <w:kern w:val="0"/>
                <w:sz w:val="24"/>
                <w:szCs w:val="24"/>
              </w:rPr>
            </w:pPr>
            <w:r>
              <w:rPr>
                <w:rFonts w:ascii="黑体" w:eastAsia="黑体" w:hAnsi="黑体" w:cs="黑体" w:hint="eastAsia"/>
                <w:bCs/>
                <w:snapToGrid w:val="0"/>
                <w:color w:val="000000" w:themeColor="text1"/>
                <w:spacing w:val="6"/>
                <w:kern w:val="0"/>
                <w:sz w:val="24"/>
                <w:szCs w:val="24"/>
              </w:rPr>
              <w:t>情景设定</w:t>
            </w:r>
          </w:p>
        </w:tc>
        <w:tc>
          <w:tcPr>
            <w:tcW w:w="1093" w:type="dxa"/>
            <w:tcBorders>
              <w:top w:val="single" w:sz="4" w:space="0" w:color="000000"/>
              <w:left w:val="single" w:sz="4" w:space="0" w:color="000000"/>
              <w:bottom w:val="single" w:sz="4" w:space="0" w:color="000000"/>
              <w:right w:val="single" w:sz="4" w:space="0" w:color="000000"/>
            </w:tcBorders>
            <w:shd w:val="clear" w:color="auto" w:fill="E2EFD9" w:themeFill="accent6" w:themeFillTint="32"/>
            <w:noWrap/>
          </w:tcPr>
          <w:p w:rsidR="00D00D0B" w:rsidRDefault="00FD0360">
            <w:pPr>
              <w:widowControl/>
              <w:kinsoku w:val="0"/>
              <w:autoSpaceDE w:val="0"/>
              <w:autoSpaceDN w:val="0"/>
              <w:adjustRightInd w:val="0"/>
              <w:snapToGrid w:val="0"/>
              <w:spacing w:line="240" w:lineRule="auto"/>
              <w:ind w:firstLineChars="0" w:firstLine="0"/>
              <w:jc w:val="center"/>
              <w:textAlignment w:val="baseline"/>
              <w:rPr>
                <w:rFonts w:ascii="黑体" w:eastAsia="黑体" w:hAnsi="黑体" w:cs="黑体"/>
                <w:bCs/>
                <w:snapToGrid w:val="0"/>
                <w:color w:val="000000" w:themeColor="text1"/>
                <w:spacing w:val="6"/>
                <w:kern w:val="0"/>
                <w:sz w:val="24"/>
                <w:szCs w:val="24"/>
              </w:rPr>
            </w:pPr>
            <w:r>
              <w:rPr>
                <w:rFonts w:ascii="黑体" w:eastAsia="黑体" w:hAnsi="黑体" w:cs="黑体" w:hint="eastAsia"/>
                <w:bCs/>
                <w:snapToGrid w:val="0"/>
                <w:color w:val="000000" w:themeColor="text1"/>
                <w:spacing w:val="6"/>
                <w:kern w:val="0"/>
                <w:sz w:val="24"/>
                <w:szCs w:val="24"/>
              </w:rPr>
              <w:t>年度</w:t>
            </w:r>
          </w:p>
        </w:tc>
        <w:tc>
          <w:tcPr>
            <w:tcW w:w="2676" w:type="dxa"/>
            <w:tcBorders>
              <w:top w:val="single" w:sz="4" w:space="0" w:color="000000"/>
              <w:left w:val="single" w:sz="4" w:space="0" w:color="000000"/>
              <w:bottom w:val="single" w:sz="4" w:space="0" w:color="000000"/>
              <w:right w:val="single" w:sz="4" w:space="0" w:color="000000"/>
            </w:tcBorders>
            <w:shd w:val="clear" w:color="auto" w:fill="E2EFD9" w:themeFill="accent6" w:themeFillTint="32"/>
            <w:noWrap/>
          </w:tcPr>
          <w:p w:rsidR="00D00D0B" w:rsidRDefault="00FD0360">
            <w:pPr>
              <w:widowControl/>
              <w:kinsoku w:val="0"/>
              <w:autoSpaceDE w:val="0"/>
              <w:autoSpaceDN w:val="0"/>
              <w:adjustRightInd w:val="0"/>
              <w:snapToGrid w:val="0"/>
              <w:spacing w:line="240" w:lineRule="auto"/>
              <w:ind w:firstLineChars="0" w:firstLine="0"/>
              <w:jc w:val="center"/>
              <w:textAlignment w:val="baseline"/>
              <w:rPr>
                <w:rFonts w:ascii="黑体" w:eastAsia="黑体" w:hAnsi="黑体" w:cs="黑体"/>
                <w:bCs/>
                <w:snapToGrid w:val="0"/>
                <w:color w:val="000000" w:themeColor="text1"/>
                <w:spacing w:val="6"/>
                <w:kern w:val="0"/>
                <w:sz w:val="24"/>
                <w:szCs w:val="24"/>
              </w:rPr>
            </w:pPr>
            <w:r>
              <w:rPr>
                <w:rFonts w:ascii="黑体" w:eastAsia="黑体" w:hAnsi="黑体" w:cs="黑体" w:hint="eastAsia"/>
                <w:bCs/>
                <w:snapToGrid w:val="0"/>
                <w:color w:val="000000" w:themeColor="text1"/>
                <w:spacing w:val="6"/>
                <w:kern w:val="0"/>
                <w:sz w:val="24"/>
                <w:szCs w:val="24"/>
              </w:rPr>
              <w:t>银行贷款预期损失率</w:t>
            </w:r>
          </w:p>
        </w:tc>
      </w:tr>
      <w:tr w:rsidR="00D00D0B">
        <w:trPr>
          <w:trHeight w:val="447"/>
          <w:jc w:val="center"/>
        </w:trPr>
        <w:tc>
          <w:tcPr>
            <w:tcW w:w="5549" w:type="dxa"/>
            <w:tcBorders>
              <w:top w:val="single" w:sz="4" w:space="0" w:color="000000"/>
              <w:left w:val="single" w:sz="4" w:space="0" w:color="000000"/>
              <w:bottom w:val="single" w:sz="4" w:space="0" w:color="000000"/>
              <w:right w:val="single" w:sz="4" w:space="0" w:color="000000"/>
            </w:tcBorders>
            <w:shd w:val="clear" w:color="auto" w:fill="auto"/>
            <w:noWrap/>
          </w:tcPr>
          <w:p w:rsidR="00D00D0B" w:rsidRDefault="00FD0360">
            <w:pPr>
              <w:widowControl/>
              <w:ind w:firstLineChars="0" w:firstLine="0"/>
              <w:jc w:val="center"/>
              <w:textAlignment w:val="top"/>
              <w:rPr>
                <w:rFonts w:ascii="仿宋" w:eastAsia="仿宋" w:hAnsi="仿宋" w:cs="仿宋"/>
                <w:color w:val="000000" w:themeColor="text1"/>
                <w:kern w:val="0"/>
                <w:sz w:val="24"/>
                <w:szCs w:val="24"/>
              </w:rPr>
            </w:pPr>
            <w:r>
              <w:rPr>
                <w:rFonts w:ascii="仿宋" w:eastAsia="仿宋" w:hAnsi="仿宋" w:cs="仿宋" w:hint="eastAsia"/>
                <w:color w:val="000000" w:themeColor="text1"/>
                <w:kern w:val="0"/>
                <w:sz w:val="24"/>
                <w:szCs w:val="24"/>
              </w:rPr>
              <w:t>ADVANCE_2020_1.5C-2100（有序转型）</w:t>
            </w:r>
          </w:p>
        </w:tc>
        <w:tc>
          <w:tcPr>
            <w:tcW w:w="1093" w:type="dxa"/>
            <w:tcBorders>
              <w:top w:val="single" w:sz="4" w:space="0" w:color="000000"/>
              <w:left w:val="single" w:sz="4" w:space="0" w:color="000000"/>
              <w:bottom w:val="single" w:sz="4" w:space="0" w:color="000000"/>
              <w:right w:val="single" w:sz="4" w:space="0" w:color="000000"/>
            </w:tcBorders>
            <w:shd w:val="clear" w:color="auto" w:fill="auto"/>
            <w:noWrap/>
          </w:tcPr>
          <w:p w:rsidR="00D00D0B" w:rsidRDefault="00FD0360">
            <w:pPr>
              <w:widowControl/>
              <w:ind w:firstLineChars="0" w:firstLine="0"/>
              <w:jc w:val="center"/>
              <w:textAlignment w:val="top"/>
              <w:rPr>
                <w:rFonts w:ascii="仿宋" w:eastAsia="仿宋" w:hAnsi="仿宋" w:cs="仿宋"/>
                <w:color w:val="000000" w:themeColor="text1"/>
                <w:kern w:val="0"/>
                <w:sz w:val="24"/>
                <w:szCs w:val="24"/>
              </w:rPr>
            </w:pPr>
            <w:r>
              <w:rPr>
                <w:rFonts w:ascii="仿宋" w:eastAsia="仿宋" w:hAnsi="仿宋" w:cs="仿宋" w:hint="eastAsia"/>
                <w:color w:val="000000" w:themeColor="text1"/>
                <w:kern w:val="0"/>
                <w:sz w:val="24"/>
                <w:szCs w:val="24"/>
              </w:rPr>
              <w:t>2025</w:t>
            </w:r>
          </w:p>
        </w:tc>
        <w:tc>
          <w:tcPr>
            <w:tcW w:w="26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00D0B" w:rsidRDefault="00FD0360">
            <w:pPr>
              <w:widowControl/>
              <w:kinsoku w:val="0"/>
              <w:autoSpaceDE w:val="0"/>
              <w:autoSpaceDN w:val="0"/>
              <w:adjustRightInd w:val="0"/>
              <w:snapToGrid w:val="0"/>
              <w:spacing w:line="240" w:lineRule="auto"/>
              <w:ind w:firstLineChars="0" w:firstLine="0"/>
              <w:jc w:val="center"/>
              <w:textAlignment w:val="baseline"/>
              <w:rPr>
                <w:rFonts w:ascii="仿宋" w:eastAsia="仿宋" w:hAnsi="仿宋" w:cs="仿宋"/>
                <w:bCs/>
                <w:snapToGrid w:val="0"/>
                <w:color w:val="000000" w:themeColor="text1"/>
                <w:spacing w:val="6"/>
                <w:kern w:val="0"/>
                <w:sz w:val="24"/>
                <w:szCs w:val="24"/>
              </w:rPr>
            </w:pPr>
            <w:r>
              <w:rPr>
                <w:rFonts w:ascii="仿宋" w:eastAsia="仿宋" w:hAnsi="仿宋" w:cs="仿宋" w:hint="eastAsia"/>
                <w:bCs/>
                <w:snapToGrid w:val="0"/>
                <w:color w:val="000000" w:themeColor="text1"/>
                <w:spacing w:val="6"/>
                <w:kern w:val="0"/>
                <w:sz w:val="24"/>
                <w:szCs w:val="24"/>
              </w:rPr>
              <w:t>0.0905%</w:t>
            </w:r>
          </w:p>
        </w:tc>
      </w:tr>
      <w:tr w:rsidR="00D00D0B">
        <w:trPr>
          <w:trHeight w:val="447"/>
          <w:jc w:val="center"/>
        </w:trPr>
        <w:tc>
          <w:tcPr>
            <w:tcW w:w="5549" w:type="dxa"/>
            <w:tcBorders>
              <w:top w:val="single" w:sz="4" w:space="0" w:color="000000"/>
              <w:left w:val="single" w:sz="4" w:space="0" w:color="000000"/>
              <w:bottom w:val="single" w:sz="4" w:space="0" w:color="000000"/>
              <w:right w:val="single" w:sz="4" w:space="0" w:color="000000"/>
            </w:tcBorders>
            <w:shd w:val="clear" w:color="auto" w:fill="auto"/>
            <w:noWrap/>
          </w:tcPr>
          <w:p w:rsidR="00D00D0B" w:rsidRDefault="00FD0360">
            <w:pPr>
              <w:widowControl/>
              <w:ind w:firstLineChars="0" w:firstLine="0"/>
              <w:jc w:val="center"/>
              <w:textAlignment w:val="top"/>
              <w:rPr>
                <w:rFonts w:ascii="仿宋" w:eastAsia="仿宋" w:hAnsi="仿宋" w:cs="仿宋"/>
                <w:color w:val="000000" w:themeColor="text1"/>
                <w:kern w:val="0"/>
                <w:sz w:val="24"/>
                <w:szCs w:val="24"/>
              </w:rPr>
            </w:pPr>
            <w:r>
              <w:rPr>
                <w:rFonts w:ascii="仿宋" w:eastAsia="仿宋" w:hAnsi="仿宋" w:cs="仿宋" w:hint="eastAsia"/>
                <w:color w:val="000000" w:themeColor="text1"/>
                <w:kern w:val="0"/>
                <w:sz w:val="24"/>
                <w:szCs w:val="24"/>
              </w:rPr>
              <w:t>ADVANCE_2020_1.5C-2100（有序转型）</w:t>
            </w:r>
          </w:p>
        </w:tc>
        <w:tc>
          <w:tcPr>
            <w:tcW w:w="1093" w:type="dxa"/>
            <w:tcBorders>
              <w:top w:val="single" w:sz="4" w:space="0" w:color="000000"/>
              <w:left w:val="single" w:sz="4" w:space="0" w:color="000000"/>
              <w:bottom w:val="single" w:sz="4" w:space="0" w:color="000000"/>
              <w:right w:val="single" w:sz="4" w:space="0" w:color="000000"/>
            </w:tcBorders>
            <w:shd w:val="clear" w:color="auto" w:fill="auto"/>
            <w:noWrap/>
          </w:tcPr>
          <w:p w:rsidR="00D00D0B" w:rsidRDefault="00FD0360">
            <w:pPr>
              <w:widowControl/>
              <w:ind w:firstLineChars="0" w:firstLine="0"/>
              <w:jc w:val="center"/>
              <w:textAlignment w:val="top"/>
              <w:rPr>
                <w:rFonts w:ascii="仿宋" w:eastAsia="仿宋" w:hAnsi="仿宋" w:cs="仿宋"/>
                <w:color w:val="000000" w:themeColor="text1"/>
                <w:kern w:val="0"/>
                <w:sz w:val="24"/>
                <w:szCs w:val="24"/>
              </w:rPr>
            </w:pPr>
            <w:r>
              <w:rPr>
                <w:rFonts w:ascii="仿宋" w:eastAsia="仿宋" w:hAnsi="仿宋" w:cs="仿宋" w:hint="eastAsia"/>
                <w:color w:val="000000" w:themeColor="text1"/>
                <w:kern w:val="0"/>
                <w:sz w:val="24"/>
                <w:szCs w:val="24"/>
              </w:rPr>
              <w:t>2026</w:t>
            </w:r>
          </w:p>
        </w:tc>
        <w:tc>
          <w:tcPr>
            <w:tcW w:w="26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00D0B" w:rsidRDefault="00FD0360">
            <w:pPr>
              <w:widowControl/>
              <w:kinsoku w:val="0"/>
              <w:autoSpaceDE w:val="0"/>
              <w:autoSpaceDN w:val="0"/>
              <w:adjustRightInd w:val="0"/>
              <w:snapToGrid w:val="0"/>
              <w:spacing w:line="240" w:lineRule="auto"/>
              <w:ind w:firstLineChars="0" w:firstLine="0"/>
              <w:jc w:val="center"/>
              <w:textAlignment w:val="baseline"/>
              <w:rPr>
                <w:rFonts w:ascii="仿宋" w:eastAsia="仿宋" w:hAnsi="仿宋" w:cs="仿宋"/>
                <w:bCs/>
                <w:snapToGrid w:val="0"/>
                <w:color w:val="000000" w:themeColor="text1"/>
                <w:spacing w:val="6"/>
                <w:kern w:val="0"/>
                <w:sz w:val="24"/>
                <w:szCs w:val="24"/>
              </w:rPr>
            </w:pPr>
            <w:r>
              <w:rPr>
                <w:rFonts w:ascii="仿宋" w:eastAsia="仿宋" w:hAnsi="仿宋" w:cs="仿宋" w:hint="eastAsia"/>
                <w:bCs/>
                <w:snapToGrid w:val="0"/>
                <w:color w:val="000000" w:themeColor="text1"/>
                <w:spacing w:val="6"/>
                <w:kern w:val="0"/>
                <w:sz w:val="24"/>
                <w:szCs w:val="24"/>
              </w:rPr>
              <w:t>0.0145%</w:t>
            </w:r>
          </w:p>
        </w:tc>
      </w:tr>
      <w:tr w:rsidR="00D00D0B">
        <w:trPr>
          <w:trHeight w:val="447"/>
          <w:jc w:val="center"/>
        </w:trPr>
        <w:tc>
          <w:tcPr>
            <w:tcW w:w="5549" w:type="dxa"/>
            <w:tcBorders>
              <w:top w:val="single" w:sz="4" w:space="0" w:color="000000"/>
              <w:left w:val="single" w:sz="4" w:space="0" w:color="000000"/>
              <w:bottom w:val="single" w:sz="4" w:space="0" w:color="000000"/>
              <w:right w:val="single" w:sz="4" w:space="0" w:color="000000"/>
            </w:tcBorders>
            <w:shd w:val="clear" w:color="auto" w:fill="auto"/>
            <w:noWrap/>
          </w:tcPr>
          <w:p w:rsidR="00D00D0B" w:rsidRDefault="00FD0360">
            <w:pPr>
              <w:widowControl/>
              <w:ind w:firstLineChars="0" w:firstLine="0"/>
              <w:jc w:val="center"/>
              <w:textAlignment w:val="top"/>
              <w:rPr>
                <w:rFonts w:ascii="仿宋" w:eastAsia="仿宋" w:hAnsi="仿宋" w:cs="仿宋"/>
                <w:color w:val="000000" w:themeColor="text1"/>
                <w:kern w:val="0"/>
                <w:sz w:val="24"/>
                <w:szCs w:val="24"/>
              </w:rPr>
            </w:pPr>
            <w:r>
              <w:rPr>
                <w:rFonts w:ascii="仿宋" w:eastAsia="仿宋" w:hAnsi="仿宋" w:cs="仿宋" w:hint="eastAsia"/>
                <w:color w:val="000000" w:themeColor="text1"/>
                <w:kern w:val="0"/>
                <w:sz w:val="24"/>
                <w:szCs w:val="24"/>
              </w:rPr>
              <w:t>ADVANCE_2020_1.5C-2100（有序转型）</w:t>
            </w:r>
          </w:p>
        </w:tc>
        <w:tc>
          <w:tcPr>
            <w:tcW w:w="1093" w:type="dxa"/>
            <w:tcBorders>
              <w:top w:val="single" w:sz="4" w:space="0" w:color="000000"/>
              <w:left w:val="single" w:sz="4" w:space="0" w:color="000000"/>
              <w:bottom w:val="single" w:sz="4" w:space="0" w:color="000000"/>
              <w:right w:val="single" w:sz="4" w:space="0" w:color="000000"/>
            </w:tcBorders>
            <w:shd w:val="clear" w:color="auto" w:fill="auto"/>
            <w:noWrap/>
          </w:tcPr>
          <w:p w:rsidR="00D00D0B" w:rsidRDefault="00FD0360">
            <w:pPr>
              <w:widowControl/>
              <w:ind w:firstLineChars="0" w:firstLine="0"/>
              <w:jc w:val="center"/>
              <w:textAlignment w:val="top"/>
              <w:rPr>
                <w:rFonts w:ascii="仿宋" w:eastAsia="仿宋" w:hAnsi="仿宋" w:cs="仿宋"/>
                <w:color w:val="000000" w:themeColor="text1"/>
                <w:kern w:val="0"/>
                <w:sz w:val="24"/>
                <w:szCs w:val="24"/>
              </w:rPr>
            </w:pPr>
            <w:r>
              <w:rPr>
                <w:rFonts w:ascii="仿宋" w:eastAsia="仿宋" w:hAnsi="仿宋" w:cs="仿宋" w:hint="eastAsia"/>
                <w:color w:val="000000" w:themeColor="text1"/>
                <w:kern w:val="0"/>
                <w:sz w:val="24"/>
                <w:szCs w:val="24"/>
              </w:rPr>
              <w:t>2027</w:t>
            </w:r>
          </w:p>
        </w:tc>
        <w:tc>
          <w:tcPr>
            <w:tcW w:w="26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00D0B" w:rsidRDefault="00FD0360">
            <w:pPr>
              <w:widowControl/>
              <w:kinsoku w:val="0"/>
              <w:autoSpaceDE w:val="0"/>
              <w:autoSpaceDN w:val="0"/>
              <w:adjustRightInd w:val="0"/>
              <w:snapToGrid w:val="0"/>
              <w:spacing w:line="240" w:lineRule="auto"/>
              <w:ind w:firstLineChars="0" w:firstLine="0"/>
              <w:jc w:val="center"/>
              <w:textAlignment w:val="baseline"/>
              <w:rPr>
                <w:rFonts w:ascii="仿宋" w:eastAsia="仿宋" w:hAnsi="仿宋" w:cs="仿宋"/>
                <w:bCs/>
                <w:snapToGrid w:val="0"/>
                <w:color w:val="000000" w:themeColor="text1"/>
                <w:spacing w:val="6"/>
                <w:kern w:val="0"/>
                <w:sz w:val="24"/>
                <w:szCs w:val="24"/>
              </w:rPr>
            </w:pPr>
            <w:r>
              <w:rPr>
                <w:rFonts w:ascii="仿宋" w:eastAsia="仿宋" w:hAnsi="仿宋" w:cs="仿宋" w:hint="eastAsia"/>
                <w:bCs/>
                <w:snapToGrid w:val="0"/>
                <w:color w:val="000000" w:themeColor="text1"/>
                <w:spacing w:val="6"/>
                <w:kern w:val="0"/>
                <w:sz w:val="24"/>
                <w:szCs w:val="24"/>
              </w:rPr>
              <w:t>0.0026%</w:t>
            </w:r>
          </w:p>
        </w:tc>
      </w:tr>
      <w:tr w:rsidR="00D00D0B">
        <w:trPr>
          <w:trHeight w:val="447"/>
          <w:jc w:val="center"/>
        </w:trPr>
        <w:tc>
          <w:tcPr>
            <w:tcW w:w="5549" w:type="dxa"/>
            <w:tcBorders>
              <w:top w:val="single" w:sz="4" w:space="0" w:color="000000"/>
              <w:left w:val="single" w:sz="4" w:space="0" w:color="000000"/>
              <w:bottom w:val="single" w:sz="4" w:space="0" w:color="000000"/>
              <w:right w:val="single" w:sz="4" w:space="0" w:color="000000"/>
            </w:tcBorders>
            <w:shd w:val="clear" w:color="auto" w:fill="auto"/>
            <w:noWrap/>
          </w:tcPr>
          <w:p w:rsidR="00D00D0B" w:rsidRDefault="00FD0360">
            <w:pPr>
              <w:widowControl/>
              <w:ind w:firstLineChars="0" w:firstLine="0"/>
              <w:jc w:val="center"/>
              <w:textAlignment w:val="top"/>
              <w:rPr>
                <w:rFonts w:ascii="仿宋" w:eastAsia="仿宋" w:hAnsi="仿宋" w:cs="仿宋"/>
                <w:color w:val="000000" w:themeColor="text1"/>
                <w:kern w:val="0"/>
                <w:sz w:val="24"/>
                <w:szCs w:val="24"/>
              </w:rPr>
            </w:pPr>
            <w:r>
              <w:rPr>
                <w:rFonts w:ascii="仿宋" w:eastAsia="仿宋" w:hAnsi="仿宋" w:cs="仿宋" w:hint="eastAsia"/>
                <w:color w:val="000000" w:themeColor="text1"/>
                <w:kern w:val="0"/>
                <w:sz w:val="24"/>
                <w:szCs w:val="24"/>
              </w:rPr>
              <w:t>ADVANCE_2020_1.5C-2100（有序转型）</w:t>
            </w:r>
          </w:p>
        </w:tc>
        <w:tc>
          <w:tcPr>
            <w:tcW w:w="1093" w:type="dxa"/>
            <w:tcBorders>
              <w:top w:val="single" w:sz="4" w:space="0" w:color="000000"/>
              <w:left w:val="single" w:sz="4" w:space="0" w:color="000000"/>
              <w:bottom w:val="single" w:sz="4" w:space="0" w:color="000000"/>
              <w:right w:val="single" w:sz="4" w:space="0" w:color="000000"/>
            </w:tcBorders>
            <w:shd w:val="clear" w:color="auto" w:fill="auto"/>
            <w:noWrap/>
          </w:tcPr>
          <w:p w:rsidR="00D00D0B" w:rsidRDefault="00FD0360">
            <w:pPr>
              <w:widowControl/>
              <w:ind w:firstLineChars="0" w:firstLine="0"/>
              <w:jc w:val="center"/>
              <w:textAlignment w:val="top"/>
              <w:rPr>
                <w:rFonts w:ascii="仿宋" w:eastAsia="仿宋" w:hAnsi="仿宋" w:cs="仿宋"/>
                <w:color w:val="000000" w:themeColor="text1"/>
                <w:kern w:val="0"/>
                <w:sz w:val="24"/>
                <w:szCs w:val="24"/>
              </w:rPr>
            </w:pPr>
            <w:r>
              <w:rPr>
                <w:rFonts w:ascii="仿宋" w:eastAsia="仿宋" w:hAnsi="仿宋" w:cs="仿宋" w:hint="eastAsia"/>
                <w:color w:val="000000" w:themeColor="text1"/>
                <w:kern w:val="0"/>
                <w:sz w:val="24"/>
                <w:szCs w:val="24"/>
              </w:rPr>
              <w:t>2028</w:t>
            </w:r>
          </w:p>
        </w:tc>
        <w:tc>
          <w:tcPr>
            <w:tcW w:w="26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00D0B" w:rsidRDefault="00FD0360">
            <w:pPr>
              <w:widowControl/>
              <w:kinsoku w:val="0"/>
              <w:autoSpaceDE w:val="0"/>
              <w:autoSpaceDN w:val="0"/>
              <w:adjustRightInd w:val="0"/>
              <w:snapToGrid w:val="0"/>
              <w:spacing w:line="240" w:lineRule="auto"/>
              <w:ind w:firstLineChars="0" w:firstLine="0"/>
              <w:jc w:val="center"/>
              <w:textAlignment w:val="baseline"/>
              <w:rPr>
                <w:rFonts w:ascii="仿宋" w:eastAsia="仿宋" w:hAnsi="仿宋" w:cs="仿宋"/>
                <w:bCs/>
                <w:snapToGrid w:val="0"/>
                <w:color w:val="000000" w:themeColor="text1"/>
                <w:spacing w:val="6"/>
                <w:kern w:val="0"/>
                <w:sz w:val="24"/>
                <w:szCs w:val="24"/>
              </w:rPr>
            </w:pPr>
            <w:r>
              <w:rPr>
                <w:rFonts w:ascii="仿宋" w:eastAsia="仿宋" w:hAnsi="仿宋" w:cs="仿宋" w:hint="eastAsia"/>
                <w:bCs/>
                <w:snapToGrid w:val="0"/>
                <w:color w:val="000000" w:themeColor="text1"/>
                <w:spacing w:val="6"/>
                <w:kern w:val="0"/>
                <w:sz w:val="24"/>
                <w:szCs w:val="24"/>
              </w:rPr>
              <w:t>0.0004%</w:t>
            </w:r>
          </w:p>
        </w:tc>
      </w:tr>
      <w:tr w:rsidR="00D00D0B">
        <w:trPr>
          <w:trHeight w:val="447"/>
          <w:jc w:val="center"/>
        </w:trPr>
        <w:tc>
          <w:tcPr>
            <w:tcW w:w="5549" w:type="dxa"/>
            <w:tcBorders>
              <w:top w:val="single" w:sz="4" w:space="0" w:color="000000"/>
              <w:left w:val="single" w:sz="4" w:space="0" w:color="000000"/>
              <w:bottom w:val="single" w:sz="4" w:space="0" w:color="000000"/>
              <w:right w:val="single" w:sz="4" w:space="0" w:color="000000"/>
            </w:tcBorders>
            <w:shd w:val="clear" w:color="auto" w:fill="auto"/>
            <w:noWrap/>
          </w:tcPr>
          <w:p w:rsidR="00D00D0B" w:rsidRDefault="00FD0360">
            <w:pPr>
              <w:widowControl/>
              <w:ind w:firstLineChars="0" w:firstLine="0"/>
              <w:jc w:val="center"/>
              <w:textAlignment w:val="top"/>
              <w:rPr>
                <w:rFonts w:ascii="仿宋" w:eastAsia="仿宋" w:hAnsi="仿宋" w:cs="仿宋"/>
                <w:color w:val="000000" w:themeColor="text1"/>
                <w:kern w:val="0"/>
                <w:sz w:val="24"/>
                <w:szCs w:val="24"/>
              </w:rPr>
            </w:pPr>
            <w:r>
              <w:rPr>
                <w:rFonts w:ascii="仿宋" w:eastAsia="仿宋" w:hAnsi="仿宋" w:cs="仿宋" w:hint="eastAsia"/>
                <w:color w:val="000000" w:themeColor="text1"/>
                <w:kern w:val="0"/>
                <w:sz w:val="24"/>
                <w:szCs w:val="24"/>
              </w:rPr>
              <w:lastRenderedPageBreak/>
              <w:t>ADVANCE_2020_1.5C-2100（有序转型）</w:t>
            </w:r>
          </w:p>
        </w:tc>
        <w:tc>
          <w:tcPr>
            <w:tcW w:w="1093" w:type="dxa"/>
            <w:tcBorders>
              <w:top w:val="single" w:sz="4" w:space="0" w:color="000000"/>
              <w:left w:val="single" w:sz="4" w:space="0" w:color="000000"/>
              <w:bottom w:val="single" w:sz="4" w:space="0" w:color="000000"/>
              <w:right w:val="single" w:sz="4" w:space="0" w:color="000000"/>
            </w:tcBorders>
            <w:shd w:val="clear" w:color="auto" w:fill="auto"/>
            <w:noWrap/>
          </w:tcPr>
          <w:p w:rsidR="00D00D0B" w:rsidRDefault="00FD0360">
            <w:pPr>
              <w:widowControl/>
              <w:ind w:firstLineChars="0" w:firstLine="0"/>
              <w:jc w:val="center"/>
              <w:textAlignment w:val="top"/>
              <w:rPr>
                <w:rFonts w:ascii="仿宋" w:eastAsia="仿宋" w:hAnsi="仿宋" w:cs="仿宋"/>
                <w:color w:val="000000" w:themeColor="text1"/>
                <w:kern w:val="0"/>
                <w:sz w:val="24"/>
                <w:szCs w:val="24"/>
              </w:rPr>
            </w:pPr>
            <w:r>
              <w:rPr>
                <w:rFonts w:ascii="仿宋" w:eastAsia="仿宋" w:hAnsi="仿宋" w:cs="仿宋" w:hint="eastAsia"/>
                <w:color w:val="000000" w:themeColor="text1"/>
                <w:kern w:val="0"/>
                <w:sz w:val="24"/>
                <w:szCs w:val="24"/>
              </w:rPr>
              <w:t>2029</w:t>
            </w:r>
          </w:p>
        </w:tc>
        <w:tc>
          <w:tcPr>
            <w:tcW w:w="26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00D0B" w:rsidRDefault="00FD0360">
            <w:pPr>
              <w:widowControl/>
              <w:kinsoku w:val="0"/>
              <w:autoSpaceDE w:val="0"/>
              <w:autoSpaceDN w:val="0"/>
              <w:adjustRightInd w:val="0"/>
              <w:snapToGrid w:val="0"/>
              <w:spacing w:line="240" w:lineRule="auto"/>
              <w:ind w:firstLineChars="0" w:firstLine="0"/>
              <w:jc w:val="center"/>
              <w:textAlignment w:val="baseline"/>
              <w:rPr>
                <w:rFonts w:ascii="仿宋" w:eastAsia="仿宋" w:hAnsi="仿宋" w:cs="仿宋"/>
                <w:bCs/>
                <w:snapToGrid w:val="0"/>
                <w:color w:val="000000" w:themeColor="text1"/>
                <w:spacing w:val="6"/>
                <w:kern w:val="0"/>
                <w:sz w:val="24"/>
                <w:szCs w:val="24"/>
              </w:rPr>
            </w:pPr>
            <w:r>
              <w:rPr>
                <w:rFonts w:ascii="仿宋" w:eastAsia="仿宋" w:hAnsi="仿宋" w:cs="仿宋" w:hint="eastAsia"/>
                <w:bCs/>
                <w:snapToGrid w:val="0"/>
                <w:color w:val="000000" w:themeColor="text1"/>
                <w:spacing w:val="6"/>
                <w:kern w:val="0"/>
                <w:sz w:val="24"/>
                <w:szCs w:val="24"/>
              </w:rPr>
              <w:t>0.0001%</w:t>
            </w:r>
          </w:p>
        </w:tc>
      </w:tr>
      <w:tr w:rsidR="00D00D0B">
        <w:trPr>
          <w:trHeight w:val="456"/>
          <w:jc w:val="center"/>
        </w:trPr>
        <w:tc>
          <w:tcPr>
            <w:tcW w:w="5549" w:type="dxa"/>
            <w:tcBorders>
              <w:top w:val="single" w:sz="4" w:space="0" w:color="000000"/>
              <w:left w:val="single" w:sz="4" w:space="0" w:color="000000"/>
              <w:bottom w:val="single" w:sz="4" w:space="0" w:color="000000"/>
              <w:right w:val="single" w:sz="4" w:space="0" w:color="000000"/>
            </w:tcBorders>
            <w:shd w:val="clear" w:color="auto" w:fill="auto"/>
            <w:noWrap/>
          </w:tcPr>
          <w:p w:rsidR="00D00D0B" w:rsidRDefault="00FD0360">
            <w:pPr>
              <w:widowControl/>
              <w:ind w:firstLineChars="0" w:firstLine="0"/>
              <w:jc w:val="center"/>
              <w:textAlignment w:val="top"/>
              <w:rPr>
                <w:rFonts w:ascii="仿宋" w:eastAsia="仿宋" w:hAnsi="仿宋" w:cs="仿宋"/>
                <w:color w:val="000000" w:themeColor="text1"/>
                <w:kern w:val="0"/>
                <w:sz w:val="24"/>
                <w:szCs w:val="24"/>
              </w:rPr>
            </w:pPr>
            <w:r>
              <w:rPr>
                <w:rFonts w:ascii="仿宋" w:eastAsia="仿宋" w:hAnsi="仿宋" w:cs="仿宋" w:hint="eastAsia"/>
                <w:color w:val="000000" w:themeColor="text1"/>
                <w:kern w:val="0"/>
                <w:sz w:val="24"/>
                <w:szCs w:val="24"/>
              </w:rPr>
              <w:t>ADVANCE_2020_1.5C-2100（有序转型）</w:t>
            </w:r>
          </w:p>
        </w:tc>
        <w:tc>
          <w:tcPr>
            <w:tcW w:w="1093" w:type="dxa"/>
            <w:tcBorders>
              <w:top w:val="single" w:sz="4" w:space="0" w:color="000000"/>
              <w:left w:val="single" w:sz="4" w:space="0" w:color="000000"/>
              <w:bottom w:val="single" w:sz="4" w:space="0" w:color="000000"/>
              <w:right w:val="single" w:sz="4" w:space="0" w:color="000000"/>
            </w:tcBorders>
            <w:shd w:val="clear" w:color="auto" w:fill="auto"/>
            <w:noWrap/>
          </w:tcPr>
          <w:p w:rsidR="00D00D0B" w:rsidRDefault="00FD0360">
            <w:pPr>
              <w:widowControl/>
              <w:ind w:firstLineChars="0" w:firstLine="0"/>
              <w:jc w:val="center"/>
              <w:textAlignment w:val="top"/>
              <w:rPr>
                <w:rFonts w:ascii="仿宋" w:eastAsia="仿宋" w:hAnsi="仿宋" w:cs="仿宋"/>
                <w:color w:val="000000" w:themeColor="text1"/>
                <w:kern w:val="0"/>
                <w:sz w:val="24"/>
                <w:szCs w:val="24"/>
              </w:rPr>
            </w:pPr>
            <w:r>
              <w:rPr>
                <w:rFonts w:ascii="仿宋" w:eastAsia="仿宋" w:hAnsi="仿宋" w:cs="仿宋" w:hint="eastAsia"/>
                <w:color w:val="000000" w:themeColor="text1"/>
                <w:kern w:val="0"/>
                <w:sz w:val="24"/>
                <w:szCs w:val="24"/>
              </w:rPr>
              <w:t>2030</w:t>
            </w:r>
          </w:p>
        </w:tc>
        <w:tc>
          <w:tcPr>
            <w:tcW w:w="26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00D0B" w:rsidRDefault="00FD0360">
            <w:pPr>
              <w:widowControl/>
              <w:kinsoku w:val="0"/>
              <w:autoSpaceDE w:val="0"/>
              <w:autoSpaceDN w:val="0"/>
              <w:adjustRightInd w:val="0"/>
              <w:snapToGrid w:val="0"/>
              <w:spacing w:line="240" w:lineRule="auto"/>
              <w:ind w:firstLineChars="0" w:firstLine="0"/>
              <w:jc w:val="center"/>
              <w:textAlignment w:val="baseline"/>
              <w:rPr>
                <w:rFonts w:ascii="仿宋" w:eastAsia="仿宋" w:hAnsi="仿宋" w:cs="仿宋"/>
                <w:bCs/>
                <w:snapToGrid w:val="0"/>
                <w:color w:val="000000" w:themeColor="text1"/>
                <w:spacing w:val="6"/>
                <w:kern w:val="0"/>
                <w:sz w:val="24"/>
                <w:szCs w:val="24"/>
              </w:rPr>
            </w:pPr>
            <w:r>
              <w:rPr>
                <w:rFonts w:ascii="仿宋" w:eastAsia="仿宋" w:hAnsi="仿宋" w:cs="仿宋" w:hint="eastAsia"/>
                <w:bCs/>
                <w:snapToGrid w:val="0"/>
                <w:color w:val="000000" w:themeColor="text1"/>
                <w:spacing w:val="6"/>
                <w:kern w:val="0"/>
                <w:sz w:val="24"/>
                <w:szCs w:val="24"/>
              </w:rPr>
              <w:t>0.0000%</w:t>
            </w:r>
          </w:p>
        </w:tc>
      </w:tr>
    </w:tbl>
    <w:p w:rsidR="00D00D0B" w:rsidRDefault="00FD0360">
      <w:pPr>
        <w:widowControl/>
        <w:kinsoku w:val="0"/>
        <w:autoSpaceDE w:val="0"/>
        <w:autoSpaceDN w:val="0"/>
        <w:adjustRightInd w:val="0"/>
        <w:snapToGrid w:val="0"/>
        <w:spacing w:line="240" w:lineRule="auto"/>
        <w:ind w:firstLineChars="0" w:firstLine="0"/>
        <w:jc w:val="center"/>
        <w:textAlignment w:val="baseline"/>
        <w:rPr>
          <w:rFonts w:ascii="仿宋" w:eastAsia="仿宋" w:hAnsi="仿宋" w:cs="仿宋"/>
          <w:bCs/>
          <w:snapToGrid w:val="0"/>
          <w:color w:val="000000" w:themeColor="text1"/>
          <w:spacing w:val="6"/>
          <w:kern w:val="0"/>
          <w:sz w:val="21"/>
          <w:szCs w:val="21"/>
        </w:rPr>
      </w:pPr>
      <w:r>
        <w:rPr>
          <w:rFonts w:ascii="仿宋" w:eastAsia="仿宋" w:hAnsi="仿宋" w:cs="仿宋" w:hint="eastAsia"/>
          <w:bCs/>
          <w:snapToGrid w:val="0"/>
          <w:color w:val="000000" w:themeColor="text1"/>
          <w:spacing w:val="6"/>
          <w:kern w:val="0"/>
          <w:sz w:val="21"/>
          <w:szCs w:val="21"/>
        </w:rPr>
        <w:t>银行贷款预期损失率：对应情景和年度，极端情况下，样本资产贷款预期损失额占样本贷款总额的比例。</w:t>
      </w:r>
    </w:p>
    <w:p w:rsidR="00D00D0B" w:rsidRDefault="00FD0360" w:rsidP="00CC58E9">
      <w:pPr>
        <w:widowControl/>
        <w:kinsoku w:val="0"/>
        <w:autoSpaceDE w:val="0"/>
        <w:autoSpaceDN w:val="0"/>
        <w:adjustRightInd w:val="0"/>
        <w:snapToGrid w:val="0"/>
        <w:spacing w:beforeLines="50" w:line="240" w:lineRule="auto"/>
        <w:ind w:leftChars="87" w:left="278" w:firstLine="584"/>
        <w:textAlignment w:val="baseline"/>
      </w:pPr>
      <w:r>
        <w:rPr>
          <w:rFonts w:ascii="仿宋" w:eastAsia="仿宋" w:hAnsi="仿宋" w:cs="仿宋" w:hint="eastAsia"/>
          <w:bCs/>
          <w:snapToGrid w:val="0"/>
          <w:color w:val="000000" w:themeColor="text1"/>
          <w:spacing w:val="6"/>
          <w:kern w:val="0"/>
          <w:sz w:val="28"/>
          <w:szCs w:val="28"/>
        </w:rPr>
        <w:t>在转型情景下：基于“有序转型”情景下</w:t>
      </w:r>
      <w:proofErr w:type="gramStart"/>
      <w:r>
        <w:rPr>
          <w:rFonts w:ascii="仿宋" w:eastAsia="仿宋" w:hAnsi="仿宋" w:cs="仿宋" w:hint="eastAsia"/>
          <w:bCs/>
          <w:snapToGrid w:val="0"/>
          <w:color w:val="000000" w:themeColor="text1"/>
          <w:spacing w:val="6"/>
          <w:kern w:val="0"/>
          <w:sz w:val="28"/>
          <w:szCs w:val="28"/>
        </w:rPr>
        <w:t>的碳价预测</w:t>
      </w:r>
      <w:proofErr w:type="gramEnd"/>
      <w:r>
        <w:rPr>
          <w:rFonts w:ascii="仿宋" w:eastAsia="仿宋" w:hAnsi="仿宋" w:cs="仿宋" w:hint="eastAsia"/>
          <w:bCs/>
          <w:snapToGrid w:val="0"/>
          <w:color w:val="000000" w:themeColor="text1"/>
          <w:spacing w:val="6"/>
          <w:kern w:val="0"/>
          <w:sz w:val="28"/>
          <w:szCs w:val="28"/>
        </w:rPr>
        <w:t>，本行针对样本企业客户在</w:t>
      </w:r>
      <w:proofErr w:type="gramStart"/>
      <w:r>
        <w:rPr>
          <w:rFonts w:ascii="仿宋" w:eastAsia="仿宋" w:hAnsi="仿宋" w:cs="仿宋" w:hint="eastAsia"/>
          <w:bCs/>
          <w:snapToGrid w:val="0"/>
          <w:color w:val="000000" w:themeColor="text1"/>
          <w:spacing w:val="6"/>
          <w:kern w:val="0"/>
          <w:sz w:val="28"/>
          <w:szCs w:val="28"/>
        </w:rPr>
        <w:t>碳价冲击</w:t>
      </w:r>
      <w:proofErr w:type="gramEnd"/>
      <w:r>
        <w:rPr>
          <w:rFonts w:ascii="仿宋" w:eastAsia="仿宋" w:hAnsi="仿宋" w:cs="仿宋" w:hint="eastAsia"/>
          <w:bCs/>
          <w:snapToGrid w:val="0"/>
          <w:color w:val="000000" w:themeColor="text1"/>
          <w:spacing w:val="6"/>
          <w:kern w:val="0"/>
          <w:sz w:val="28"/>
          <w:szCs w:val="28"/>
        </w:rPr>
        <w:t>下未来可能的财务指标变化曲线进行模拟，量化评估企业违约概率、行业贷款预期损失、银行贷款预期损失率，进而评估相关情景下本行稳健运营的可持续性。综合评估结果显示，样本企业转型风险对本行影响总体有限。</w:t>
      </w:r>
    </w:p>
    <w:p w:rsidR="00D00D0B" w:rsidRDefault="00D00D0B" w:rsidP="00DB75FB">
      <w:pPr>
        <w:ind w:firstLineChars="0" w:firstLine="0"/>
      </w:pPr>
      <w:bookmarkStart w:id="16" w:name="_Toc3892"/>
    </w:p>
    <w:p w:rsidR="00D00D0B" w:rsidRDefault="00FD0360">
      <w:pPr>
        <w:pStyle w:val="1"/>
      </w:pPr>
      <w:r>
        <w:rPr>
          <w:rFonts w:hint="eastAsia"/>
        </w:rPr>
        <w:t>第五章 总结</w:t>
      </w:r>
      <w:bookmarkEnd w:id="16"/>
    </w:p>
    <w:p w:rsidR="00D00D0B" w:rsidRDefault="00FD0360">
      <w:pPr>
        <w:widowControl/>
        <w:kinsoku w:val="0"/>
        <w:autoSpaceDE w:val="0"/>
        <w:autoSpaceDN w:val="0"/>
        <w:adjustRightInd w:val="0"/>
        <w:snapToGrid w:val="0"/>
        <w:spacing w:line="240" w:lineRule="auto"/>
        <w:ind w:firstLine="584"/>
        <w:textAlignment w:val="baseline"/>
        <w:rPr>
          <w:rFonts w:ascii="仿宋" w:eastAsia="仿宋" w:hAnsi="仿宋" w:cs="仿宋"/>
          <w:bCs/>
          <w:snapToGrid w:val="0"/>
          <w:color w:val="000000" w:themeColor="text1"/>
          <w:spacing w:val="6"/>
          <w:kern w:val="0"/>
          <w:sz w:val="28"/>
          <w:szCs w:val="28"/>
        </w:rPr>
      </w:pPr>
      <w:r>
        <w:rPr>
          <w:rFonts w:ascii="仿宋" w:eastAsia="仿宋" w:hAnsi="仿宋" w:cs="仿宋"/>
          <w:bCs/>
          <w:snapToGrid w:val="0"/>
          <w:color w:val="000000" w:themeColor="text1"/>
          <w:spacing w:val="6"/>
          <w:kern w:val="0"/>
          <w:sz w:val="28"/>
          <w:szCs w:val="28"/>
        </w:rPr>
        <w:t>本行将“气候风险管理”纳入全面风险管理体系，建立气候风险</w:t>
      </w:r>
      <w:r>
        <w:rPr>
          <w:rFonts w:ascii="仿宋" w:eastAsia="仿宋" w:hAnsi="仿宋" w:cs="仿宋" w:hint="eastAsia"/>
          <w:bCs/>
          <w:snapToGrid w:val="0"/>
          <w:color w:val="000000" w:themeColor="text1"/>
          <w:spacing w:val="6"/>
          <w:kern w:val="0"/>
          <w:sz w:val="28"/>
          <w:szCs w:val="28"/>
        </w:rPr>
        <w:t>“</w:t>
      </w:r>
      <w:r>
        <w:rPr>
          <w:rFonts w:ascii="仿宋" w:eastAsia="仿宋" w:hAnsi="仿宋" w:cs="仿宋"/>
          <w:bCs/>
          <w:snapToGrid w:val="0"/>
          <w:color w:val="000000" w:themeColor="text1"/>
          <w:spacing w:val="6"/>
          <w:kern w:val="0"/>
          <w:sz w:val="28"/>
          <w:szCs w:val="28"/>
        </w:rPr>
        <w:t>治理架构与组织保障</w:t>
      </w:r>
      <w:r>
        <w:rPr>
          <w:rFonts w:ascii="仿宋" w:eastAsia="仿宋" w:hAnsi="仿宋" w:cs="仿宋" w:hint="eastAsia"/>
          <w:bCs/>
          <w:snapToGrid w:val="0"/>
          <w:color w:val="000000" w:themeColor="text1"/>
          <w:spacing w:val="6"/>
          <w:kern w:val="0"/>
          <w:sz w:val="28"/>
          <w:szCs w:val="28"/>
        </w:rPr>
        <w:t>”夯实</w:t>
      </w:r>
      <w:r>
        <w:rPr>
          <w:rFonts w:ascii="仿宋" w:eastAsia="仿宋" w:hAnsi="仿宋" w:cs="仿宋"/>
          <w:bCs/>
          <w:snapToGrid w:val="0"/>
          <w:color w:val="000000" w:themeColor="text1"/>
          <w:spacing w:val="6"/>
          <w:kern w:val="0"/>
          <w:sz w:val="28"/>
          <w:szCs w:val="28"/>
        </w:rPr>
        <w:t>管理基础，</w:t>
      </w:r>
      <w:r>
        <w:rPr>
          <w:rFonts w:ascii="仿宋" w:eastAsia="仿宋" w:hAnsi="仿宋" w:cs="仿宋" w:hint="eastAsia"/>
          <w:bCs/>
          <w:snapToGrid w:val="0"/>
          <w:color w:val="000000" w:themeColor="text1"/>
          <w:spacing w:val="6"/>
          <w:kern w:val="0"/>
          <w:sz w:val="28"/>
          <w:szCs w:val="28"/>
        </w:rPr>
        <w:t>部署了“数字化</w:t>
      </w:r>
      <w:r>
        <w:rPr>
          <w:rFonts w:ascii="仿宋" w:eastAsia="仿宋" w:hAnsi="仿宋" w:cs="仿宋"/>
          <w:bCs/>
          <w:snapToGrid w:val="0"/>
          <w:color w:val="000000" w:themeColor="text1"/>
          <w:spacing w:val="6"/>
          <w:kern w:val="0"/>
          <w:sz w:val="28"/>
          <w:szCs w:val="28"/>
        </w:rPr>
        <w:t>气候风险管理</w:t>
      </w:r>
      <w:r>
        <w:rPr>
          <w:rFonts w:ascii="仿宋" w:eastAsia="仿宋" w:hAnsi="仿宋" w:cs="仿宋" w:hint="eastAsia"/>
          <w:bCs/>
          <w:snapToGrid w:val="0"/>
          <w:color w:val="000000" w:themeColor="text1"/>
          <w:spacing w:val="6"/>
          <w:kern w:val="0"/>
          <w:sz w:val="28"/>
          <w:szCs w:val="28"/>
        </w:rPr>
        <w:t>系统”</w:t>
      </w:r>
      <w:r>
        <w:rPr>
          <w:rFonts w:ascii="仿宋" w:eastAsia="仿宋" w:hAnsi="仿宋" w:cs="仿宋"/>
          <w:bCs/>
          <w:snapToGrid w:val="0"/>
          <w:color w:val="000000" w:themeColor="text1"/>
          <w:spacing w:val="6"/>
          <w:kern w:val="0"/>
          <w:sz w:val="28"/>
          <w:szCs w:val="28"/>
        </w:rPr>
        <w:t>强化</w:t>
      </w:r>
      <w:r>
        <w:rPr>
          <w:rFonts w:ascii="仿宋" w:eastAsia="仿宋" w:hAnsi="仿宋" w:cs="仿宋" w:hint="eastAsia"/>
          <w:bCs/>
          <w:snapToGrid w:val="0"/>
          <w:color w:val="000000" w:themeColor="text1"/>
          <w:spacing w:val="6"/>
          <w:kern w:val="0"/>
          <w:sz w:val="28"/>
          <w:szCs w:val="28"/>
        </w:rPr>
        <w:t>风险</w:t>
      </w:r>
      <w:r>
        <w:rPr>
          <w:rFonts w:ascii="仿宋" w:eastAsia="仿宋" w:hAnsi="仿宋" w:cs="仿宋"/>
          <w:bCs/>
          <w:snapToGrid w:val="0"/>
          <w:color w:val="000000" w:themeColor="text1"/>
          <w:spacing w:val="6"/>
          <w:kern w:val="0"/>
          <w:sz w:val="28"/>
          <w:szCs w:val="28"/>
        </w:rPr>
        <w:t>识别</w:t>
      </w:r>
      <w:r>
        <w:rPr>
          <w:rFonts w:ascii="仿宋" w:eastAsia="仿宋" w:hAnsi="仿宋" w:cs="仿宋" w:hint="eastAsia"/>
          <w:bCs/>
          <w:snapToGrid w:val="0"/>
          <w:color w:val="000000" w:themeColor="text1"/>
          <w:spacing w:val="6"/>
          <w:kern w:val="0"/>
          <w:sz w:val="28"/>
          <w:szCs w:val="28"/>
        </w:rPr>
        <w:t>并</w:t>
      </w:r>
      <w:r>
        <w:rPr>
          <w:rFonts w:ascii="仿宋" w:eastAsia="仿宋" w:hAnsi="仿宋" w:cs="仿宋"/>
          <w:bCs/>
          <w:snapToGrid w:val="0"/>
          <w:color w:val="000000" w:themeColor="text1"/>
          <w:spacing w:val="6"/>
          <w:kern w:val="0"/>
          <w:sz w:val="28"/>
          <w:szCs w:val="28"/>
        </w:rPr>
        <w:t>开展压力测试</w:t>
      </w:r>
      <w:r>
        <w:rPr>
          <w:rFonts w:ascii="仿宋" w:eastAsia="仿宋" w:hAnsi="仿宋" w:cs="仿宋" w:hint="eastAsia"/>
          <w:bCs/>
          <w:snapToGrid w:val="0"/>
          <w:color w:val="000000" w:themeColor="text1"/>
          <w:spacing w:val="6"/>
          <w:kern w:val="0"/>
          <w:sz w:val="28"/>
          <w:szCs w:val="28"/>
        </w:rPr>
        <w:t>，完善</w:t>
      </w:r>
      <w:r>
        <w:rPr>
          <w:rFonts w:ascii="仿宋" w:eastAsia="仿宋" w:hAnsi="仿宋" w:cs="仿宋"/>
          <w:bCs/>
          <w:snapToGrid w:val="0"/>
          <w:color w:val="000000" w:themeColor="text1"/>
          <w:spacing w:val="6"/>
          <w:kern w:val="0"/>
          <w:sz w:val="28"/>
          <w:szCs w:val="28"/>
        </w:rPr>
        <w:t>绿色金融产品矩阵加大绿色融资支持力度</w:t>
      </w:r>
      <w:r>
        <w:rPr>
          <w:rFonts w:ascii="仿宋" w:eastAsia="仿宋" w:hAnsi="仿宋" w:cs="仿宋" w:hint="eastAsia"/>
          <w:bCs/>
          <w:snapToGrid w:val="0"/>
          <w:color w:val="000000" w:themeColor="text1"/>
          <w:spacing w:val="6"/>
          <w:kern w:val="0"/>
          <w:sz w:val="28"/>
          <w:szCs w:val="28"/>
        </w:rPr>
        <w:t>、推进转型融资工具落地、创新绿色担保绿色保险联动</w:t>
      </w:r>
      <w:r>
        <w:rPr>
          <w:rFonts w:ascii="仿宋" w:eastAsia="仿宋" w:hAnsi="仿宋" w:cs="仿宋"/>
          <w:bCs/>
          <w:snapToGrid w:val="0"/>
          <w:color w:val="000000" w:themeColor="text1"/>
          <w:spacing w:val="6"/>
          <w:kern w:val="0"/>
          <w:sz w:val="28"/>
          <w:szCs w:val="28"/>
        </w:rPr>
        <w:t>。</w:t>
      </w:r>
    </w:p>
    <w:p w:rsidR="00D00D0B" w:rsidRDefault="00D00D0B">
      <w:pPr>
        <w:widowControl/>
        <w:kinsoku w:val="0"/>
        <w:autoSpaceDE w:val="0"/>
        <w:autoSpaceDN w:val="0"/>
        <w:adjustRightInd w:val="0"/>
        <w:snapToGrid w:val="0"/>
        <w:spacing w:line="240" w:lineRule="auto"/>
        <w:ind w:firstLine="584"/>
        <w:textAlignment w:val="baseline"/>
        <w:rPr>
          <w:rFonts w:ascii="仿宋" w:eastAsia="仿宋" w:hAnsi="仿宋" w:cs="仿宋"/>
          <w:bCs/>
          <w:snapToGrid w:val="0"/>
          <w:color w:val="000000" w:themeColor="text1"/>
          <w:spacing w:val="6"/>
          <w:kern w:val="0"/>
          <w:sz w:val="28"/>
          <w:szCs w:val="28"/>
        </w:rPr>
      </w:pPr>
    </w:p>
    <w:sectPr w:rsidR="00D00D0B" w:rsidSect="00D00D0B">
      <w:headerReference w:type="even" r:id="rId30"/>
      <w:headerReference w:type="default" r:id="rId31"/>
      <w:footerReference w:type="default" r:id="rId32"/>
      <w:headerReference w:type="first" r:id="rId33"/>
      <w:pgSz w:w="11906" w:h="16838"/>
      <w:pgMar w:top="998" w:right="998" w:bottom="1451" w:left="133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D5155" w:rsidRDefault="002D5155">
      <w:pPr>
        <w:spacing w:line="240" w:lineRule="auto"/>
        <w:ind w:firstLine="640"/>
      </w:pPr>
      <w:r>
        <w:separator/>
      </w:r>
    </w:p>
  </w:endnote>
  <w:endnote w:type="continuationSeparator" w:id="0">
    <w:p w:rsidR="002D5155" w:rsidRDefault="002D5155">
      <w:pPr>
        <w:spacing w:line="240" w:lineRule="auto"/>
        <w:ind w:firstLine="64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0AFF" w:usb1="00007843" w:usb2="00000001" w:usb3="00000000" w:csb0="000001BF" w:csb1="00000000"/>
  </w:font>
  <w:font w:name="方正仿宋_GBK">
    <w:altName w:val="Arial Unicode MS"/>
    <w:charset w:val="86"/>
    <w:family w:val="auto"/>
    <w:pitch w:val="default"/>
    <w:sig w:usb0="00000000" w:usb1="38CF7CFA" w:usb2="00082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黑体_GBK">
    <w:altName w:val="汉仪中黑KW"/>
    <w:charset w:val="86"/>
    <w:family w:val="auto"/>
    <w:pitch w:val="default"/>
    <w:sig w:usb0="00000000" w:usb1="00000000" w:usb2="0000000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0AFF" w:usb1="00007843" w:usb2="00000001" w:usb3="00000000" w:csb0="000001BF" w:csb1="00000000"/>
  </w:font>
  <w:font w:name="Calibri">
    <w:panose1 w:val="020F0502020204030204"/>
    <w:charset w:val="00"/>
    <w:family w:val="swiss"/>
    <w:pitch w:val="variable"/>
    <w:sig w:usb0="A00002EF" w:usb1="4000207B" w:usb2="00000000" w:usb3="00000000" w:csb0="0000009F" w:csb1="00000000"/>
  </w:font>
  <w:font w:name="等线 Light">
    <w:altName w:val="汉仪中等线KW"/>
    <w:charset w:val="86"/>
    <w:family w:val="auto"/>
    <w:pitch w:val="default"/>
    <w:sig w:usb0="00000000" w:usb1="00000000" w:usb2="00000016" w:usb3="00000000" w:csb0="0004000F" w:csb1="00000000"/>
  </w:font>
  <w:font w:name="仿宋">
    <w:altName w:val="方正仿宋_GBK"/>
    <w:panose1 w:val="02010609060101010101"/>
    <w:charset w:val="86"/>
    <w:family w:val="modern"/>
    <w:pitch w:val="fixed"/>
    <w:sig w:usb0="800002BF" w:usb1="38CF7CFA" w:usb2="00000016" w:usb3="00000000" w:csb0="00040001" w:csb1="00000000"/>
  </w:font>
  <w:font w:name="方正小标宋_GBK">
    <w:altName w:val="汉仪书宋二KW"/>
    <w:charset w:val="86"/>
    <w:family w:val="auto"/>
    <w:pitch w:val="default"/>
    <w:sig w:usb0="00000000" w:usb1="00000000" w:usb2="00082016" w:usb3="00000000" w:csb0="00040001" w:csb1="00000000"/>
  </w:font>
  <w:font w:name="Calibri Light">
    <w:altName w:val="Helvetica Neue"/>
    <w:charset w:val="00"/>
    <w:family w:val="swiss"/>
    <w:pitch w:val="default"/>
    <w:sig w:usb0="00000000" w:usb1="00000000" w:usb2="00000009" w:usb3="00000000" w:csb0="200001FF" w:csb1="00000000"/>
  </w:font>
  <w:font w:name="Arial Unicode MS">
    <w:panose1 w:val="020B0604020202020204"/>
    <w:charset w:val="86"/>
    <w:family w:val="swiss"/>
    <w:pitch w:val="variable"/>
    <w:sig w:usb0="F7FFAFFF" w:usb1="E9DFFFFF" w:usb2="0000003F" w:usb3="00000000" w:csb0="003F01FF" w:csb1="00000000"/>
  </w:font>
  <w:font w:name="微软雅黑">
    <w:altName w:val="汉仪旗黑"/>
    <w:panose1 w:val="020B0503020204020204"/>
    <w:charset w:val="86"/>
    <w:family w:val="swiss"/>
    <w:pitch w:val="variable"/>
    <w:sig w:usb0="80000287" w:usb1="280F3C52" w:usb2="00000016" w:usb3="00000000" w:csb0="0004001F" w:csb1="00000000"/>
  </w:font>
  <w:font w:name="等线">
    <w:panose1 w:val="00000000000000000000"/>
    <w:charset w:val="86"/>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0D0B" w:rsidRDefault="00D00D0B">
    <w:pPr>
      <w:pStyle w:val="aa"/>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0D0B" w:rsidRDefault="00D00D0B">
    <w:pPr>
      <w:pStyle w:val="aa"/>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0D0B" w:rsidRDefault="00D00D0B">
    <w:pPr>
      <w:pStyle w:val="aa"/>
      <w:ind w:firstLine="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Style w:val="af0"/>
      </w:rPr>
      <w:id w:val="673328606"/>
    </w:sdtPr>
    <w:sdtContent>
      <w:p w:rsidR="00D00D0B" w:rsidRDefault="004C77AE">
        <w:pPr>
          <w:pStyle w:val="aa"/>
          <w:framePr w:wrap="auto" w:vAnchor="text" w:hAnchor="margin" w:xAlign="center" w:y="1"/>
          <w:ind w:firstLine="360"/>
          <w:rPr>
            <w:rStyle w:val="af0"/>
          </w:rPr>
        </w:pPr>
        <w:r>
          <w:rPr>
            <w:rStyle w:val="af0"/>
          </w:rPr>
          <w:fldChar w:fldCharType="begin"/>
        </w:r>
        <w:r w:rsidR="00FD0360">
          <w:rPr>
            <w:rStyle w:val="af0"/>
          </w:rPr>
          <w:instrText xml:space="preserve"> PAGE </w:instrText>
        </w:r>
        <w:r>
          <w:rPr>
            <w:rStyle w:val="af0"/>
          </w:rPr>
          <w:fldChar w:fldCharType="end"/>
        </w:r>
      </w:p>
    </w:sdtContent>
  </w:sdt>
  <w:sdt>
    <w:sdtPr>
      <w:rPr>
        <w:rStyle w:val="af0"/>
      </w:rPr>
      <w:id w:val="470790979"/>
    </w:sdtPr>
    <w:sdtContent>
      <w:p w:rsidR="00D00D0B" w:rsidRDefault="004C77AE">
        <w:pPr>
          <w:pStyle w:val="aa"/>
          <w:framePr w:wrap="auto" w:vAnchor="text" w:hAnchor="margin" w:xAlign="right" w:y="1"/>
          <w:ind w:firstLine="360"/>
          <w:rPr>
            <w:rStyle w:val="af0"/>
          </w:rPr>
        </w:pPr>
        <w:r>
          <w:rPr>
            <w:rStyle w:val="af0"/>
          </w:rPr>
          <w:fldChar w:fldCharType="begin"/>
        </w:r>
        <w:r w:rsidR="00FD0360">
          <w:rPr>
            <w:rStyle w:val="af0"/>
          </w:rPr>
          <w:instrText xml:space="preserve"> PAGE </w:instrText>
        </w:r>
        <w:r>
          <w:rPr>
            <w:rStyle w:val="af0"/>
          </w:rPr>
          <w:fldChar w:fldCharType="end"/>
        </w:r>
      </w:p>
    </w:sdtContent>
  </w:sdt>
  <w:sdt>
    <w:sdtPr>
      <w:rPr>
        <w:rStyle w:val="af0"/>
      </w:rPr>
      <w:id w:val="188039930"/>
    </w:sdtPr>
    <w:sdtContent>
      <w:p w:rsidR="00D00D0B" w:rsidRDefault="004C77AE">
        <w:pPr>
          <w:pStyle w:val="aa"/>
          <w:framePr w:wrap="auto" w:vAnchor="text" w:hAnchor="margin" w:xAlign="center" w:y="1"/>
          <w:ind w:right="360" w:firstLine="360"/>
          <w:rPr>
            <w:rStyle w:val="af0"/>
          </w:rPr>
        </w:pPr>
        <w:r>
          <w:rPr>
            <w:rStyle w:val="af0"/>
          </w:rPr>
          <w:fldChar w:fldCharType="begin"/>
        </w:r>
        <w:r w:rsidR="00FD0360">
          <w:rPr>
            <w:rStyle w:val="af0"/>
          </w:rPr>
          <w:instrText xml:space="preserve"> PAGE </w:instrText>
        </w:r>
        <w:r>
          <w:rPr>
            <w:rStyle w:val="af0"/>
          </w:rPr>
          <w:fldChar w:fldCharType="end"/>
        </w:r>
      </w:p>
    </w:sdtContent>
  </w:sdt>
  <w:sdt>
    <w:sdtPr>
      <w:rPr>
        <w:rStyle w:val="af0"/>
      </w:rPr>
      <w:id w:val="1047030819"/>
    </w:sdtPr>
    <w:sdtContent>
      <w:p w:rsidR="00D00D0B" w:rsidRDefault="004C77AE">
        <w:pPr>
          <w:pStyle w:val="aa"/>
          <w:framePr w:wrap="auto" w:vAnchor="text" w:hAnchor="margin" w:xAlign="center" w:y="1"/>
          <w:ind w:firstLine="360"/>
          <w:rPr>
            <w:rStyle w:val="af0"/>
          </w:rPr>
        </w:pPr>
        <w:r>
          <w:rPr>
            <w:rStyle w:val="af0"/>
          </w:rPr>
          <w:fldChar w:fldCharType="begin"/>
        </w:r>
        <w:r w:rsidR="00FD0360">
          <w:rPr>
            <w:rStyle w:val="af0"/>
          </w:rPr>
          <w:instrText xml:space="preserve"> PAGE </w:instrText>
        </w:r>
        <w:r>
          <w:rPr>
            <w:rStyle w:val="af0"/>
          </w:rPr>
          <w:fldChar w:fldCharType="end"/>
        </w:r>
      </w:p>
    </w:sdtContent>
  </w:sdt>
  <w:p w:rsidR="00D00D0B" w:rsidRDefault="00D00D0B">
    <w:pPr>
      <w:pStyle w:val="aa"/>
      <w:ind w:right="-58" w:firstLineChars="0" w:firstLine="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0D0B" w:rsidRDefault="00D00D0B">
    <w:pPr>
      <w:pStyle w:val="aa"/>
      <w:ind w:firstLine="360"/>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0D0B" w:rsidRDefault="00D00D0B">
    <w:pPr>
      <w:pStyle w:val="aa"/>
      <w:ind w:firstLine="360"/>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0D0B" w:rsidRDefault="004C77AE">
    <w:pPr>
      <w:pStyle w:val="aa"/>
      <w:ind w:right="360" w:firstLine="360"/>
    </w:pPr>
    <w:r>
      <w:pict>
        <v:shapetype id="_x0000_t202" coordsize="21600,21600" o:spt="202" path="m,l,21600r21600,l21600,xe">
          <v:stroke joinstyle="miter"/>
          <v:path gradientshapeok="t" o:connecttype="rect"/>
        </v:shapetype>
        <v:shape id="_x0000_s2049" type="#_x0000_t202" style="position:absolute;left:0;text-align:left;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filled="f" stroked="f" strokeweight=".5pt">
          <v:textbox style="mso-fit-shape-to-text:t" inset="0,0,0,0">
            <w:txbxContent>
              <w:p w:rsidR="00D00D0B" w:rsidRDefault="004C77AE">
                <w:pPr>
                  <w:pStyle w:val="aa"/>
                  <w:ind w:firstLine="360"/>
                </w:pPr>
                <w:r>
                  <w:fldChar w:fldCharType="begin"/>
                </w:r>
                <w:r w:rsidR="00FD0360">
                  <w:instrText xml:space="preserve"> PAGE  \* MERGEFORMAT </w:instrText>
                </w:r>
                <w:r>
                  <w:fldChar w:fldCharType="separate"/>
                </w:r>
                <w:r w:rsidR="00CC58E9">
                  <w:rPr>
                    <w:noProof/>
                  </w:rPr>
                  <w:t>13</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D5155" w:rsidRDefault="002D5155">
      <w:pPr>
        <w:ind w:firstLine="640"/>
      </w:pPr>
      <w:r>
        <w:separator/>
      </w:r>
    </w:p>
  </w:footnote>
  <w:footnote w:type="continuationSeparator" w:id="0">
    <w:p w:rsidR="002D5155" w:rsidRDefault="002D5155">
      <w:pPr>
        <w:ind w:firstLine="6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0D0B" w:rsidRDefault="00D00D0B">
    <w:pPr>
      <w:pStyle w:val="ab"/>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0D0B" w:rsidRDefault="00D00D0B">
    <w:pPr>
      <w:pStyle w:val="ab"/>
      <w:ind w:firstLineChars="0" w:firstLine="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0D0B" w:rsidRDefault="00D00D0B">
    <w:pPr>
      <w:pStyle w:val="ab"/>
      <w:ind w:firstLine="360"/>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Style w:val="af0"/>
      </w:rPr>
      <w:id w:val="1229690976"/>
    </w:sdtPr>
    <w:sdtContent>
      <w:p w:rsidR="00D00D0B" w:rsidRDefault="004C77AE">
        <w:pPr>
          <w:pStyle w:val="ab"/>
          <w:framePr w:wrap="auto" w:vAnchor="text" w:hAnchor="margin" w:xAlign="center" w:y="1"/>
          <w:ind w:firstLine="360"/>
          <w:rPr>
            <w:rStyle w:val="af0"/>
          </w:rPr>
        </w:pPr>
        <w:r>
          <w:rPr>
            <w:rStyle w:val="af0"/>
          </w:rPr>
          <w:fldChar w:fldCharType="begin"/>
        </w:r>
        <w:r w:rsidR="00FD0360">
          <w:rPr>
            <w:rStyle w:val="af0"/>
          </w:rPr>
          <w:instrText xml:space="preserve"> PAGE </w:instrText>
        </w:r>
        <w:r>
          <w:rPr>
            <w:rStyle w:val="af0"/>
          </w:rPr>
          <w:fldChar w:fldCharType="end"/>
        </w:r>
      </w:p>
    </w:sdtContent>
  </w:sdt>
  <w:p w:rsidR="00D00D0B" w:rsidRDefault="00D00D0B">
    <w:pPr>
      <w:pStyle w:val="ab"/>
      <w:ind w:firstLine="360"/>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0D0B" w:rsidRDefault="00D00D0B">
    <w:pPr>
      <w:pStyle w:val="ab"/>
      <w:ind w:firstLine="360"/>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0D0B" w:rsidRDefault="00D00D0B">
    <w:pPr>
      <w:ind w:firstLineChars="0" w:firstLine="0"/>
      <w:jc w:val="center"/>
      <w:rPr>
        <w:b/>
        <w:bCs/>
        <w:sz w:val="21"/>
        <w:szCs w:val="16"/>
      </w:rP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0D0B" w:rsidRDefault="00D00D0B">
    <w:pPr>
      <w:pStyle w:val="ab"/>
      <w:ind w:firstLine="360"/>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0D0B" w:rsidRDefault="00FD0360">
    <w:pPr>
      <w:pStyle w:val="ab"/>
      <w:tabs>
        <w:tab w:val="clear" w:pos="4153"/>
      </w:tabs>
      <w:ind w:firstLine="360"/>
      <w:jc w:val="right"/>
    </w:pPr>
    <w:r>
      <w:rPr>
        <w:rFonts w:hint="eastAsia"/>
      </w:rPr>
      <w:tab/>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0D0B" w:rsidRDefault="00D00D0B">
    <w:pPr>
      <w:pStyle w:val="ab"/>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
      <w:numFmt w:val="decimal"/>
      <w:pStyle w:val="a"/>
      <w:lvlText w:val="表%1"/>
      <w:lvlJc w:val="left"/>
      <w:pPr>
        <w:tabs>
          <w:tab w:val="left" w:pos="420"/>
        </w:tabs>
        <w:ind w:left="0" w:firstLine="0"/>
      </w:pPr>
      <w:rPr>
        <w:rFonts w:ascii="Times New Roman" w:eastAsia="方正仿宋_GBK" w:hAnsi="Times New Roman" w:hint="default"/>
        <w:b/>
        <w:bCs/>
        <w:sz w:val="32"/>
        <w:szCs w:val="32"/>
      </w:rPr>
    </w:lvl>
  </w:abstractNum>
  <w:abstractNum w:abstractNumId="1">
    <w:nsid w:val="00000003"/>
    <w:multiLevelType w:val="multilevel"/>
    <w:tmpl w:val="00000003"/>
    <w:lvl w:ilvl="0">
      <w:start w:val="1"/>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suff w:val="nothing"/>
      <w:lvlText w:val="%1.%2　"/>
      <w:lvlJc w:val="left"/>
      <w:pPr>
        <w:ind w:left="360" w:firstLine="0"/>
      </w:pPr>
      <w:rPr>
        <w:rFonts w:ascii="黑体" w:eastAsia="黑体" w:hAnsi="Times New Roman" w:cs="Times New Roman" w:hint="eastAsia"/>
        <w:b w:val="0"/>
        <w:bCs w:val="0"/>
        <w:i w:val="0"/>
        <w:iCs w:val="0"/>
        <w:caps w:val="0"/>
        <w:spacing w:val="0"/>
        <w:kern w:val="0"/>
        <w:position w:val="0"/>
        <w:sz w:val="21"/>
        <w:szCs w:val="21"/>
        <w:u w:val="none"/>
      </w:rPr>
    </w:lvl>
    <w:lvl w:ilvl="2">
      <w:start w:val="1"/>
      <w:numFmt w:val="decimal"/>
      <w:pStyle w:val="a0"/>
      <w:suff w:val="nothing"/>
      <w:lvlText w:val="%1.%2.%3　"/>
      <w:lvlJc w:val="left"/>
      <w:pPr>
        <w:ind w:left="3828" w:firstLine="0"/>
      </w:pPr>
      <w:rPr>
        <w:rFonts w:ascii="黑体" w:eastAsia="黑体" w:hAnsi="Times New Roman" w:hint="eastAsia"/>
        <w:b w:val="0"/>
        <w:i w:val="0"/>
        <w:sz w:val="21"/>
        <w:lang w:eastAsia="zh-TW"/>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
    <w:nsid w:val="00000005"/>
    <w:multiLevelType w:val="singleLevel"/>
    <w:tmpl w:val="00000005"/>
    <w:lvl w:ilvl="0">
      <w:start w:val="1"/>
      <w:numFmt w:val="decimal"/>
      <w:pStyle w:val="a1"/>
      <w:lvlText w:val="图%1"/>
      <w:lvlJc w:val="left"/>
      <w:pPr>
        <w:tabs>
          <w:tab w:val="left" w:pos="420"/>
        </w:tabs>
        <w:ind w:left="425" w:hanging="425"/>
      </w:pPr>
      <w:rPr>
        <w:rFonts w:eastAsia="方正仿宋_GBK" w:hint="default"/>
        <w:b/>
        <w:sz w:val="32"/>
      </w:rPr>
    </w:lvl>
  </w:abstractNum>
  <w:abstractNum w:abstractNumId="3">
    <w:nsid w:val="00000006"/>
    <w:multiLevelType w:val="singleLevel"/>
    <w:tmpl w:val="00000006"/>
    <w:lvl w:ilvl="0">
      <w:start w:val="1"/>
      <w:numFmt w:val="chineseCounting"/>
      <w:suff w:val="space"/>
      <w:lvlText w:val="第%1章"/>
      <w:lvlJc w:val="left"/>
      <w:rPr>
        <w:rFonts w:hint="eastAsia"/>
      </w:rPr>
    </w:lvl>
  </w:abstractNum>
  <w:abstractNum w:abstractNumId="4">
    <w:nsid w:val="54CB2A2C"/>
    <w:multiLevelType w:val="multilevel"/>
    <w:tmpl w:val="54CB2A2C"/>
    <w:lvl w:ilvl="0">
      <w:start w:val="1"/>
      <w:numFmt w:val="chineseCounting"/>
      <w:lvlText w:val="%1、"/>
      <w:lvlJc w:val="left"/>
      <w:pPr>
        <w:ind w:left="432" w:hanging="432"/>
      </w:pPr>
      <w:rPr>
        <w:rFonts w:ascii="Times New Roman" w:eastAsia="方正黑体_GBK" w:hAnsi="Times New Roman" w:hint="eastAsia"/>
        <w:b/>
        <w:bCs/>
        <w:sz w:val="32"/>
        <w:szCs w:val="32"/>
      </w:rPr>
    </w:lvl>
    <w:lvl w:ilvl="1">
      <w:start w:val="1"/>
      <w:numFmt w:val="decimal"/>
      <w:lvlText w:val="%2"/>
      <w:lvlJc w:val="left"/>
      <w:pPr>
        <w:ind w:left="575" w:hanging="575"/>
      </w:pPr>
      <w:rPr>
        <w:rFonts w:ascii="宋体" w:eastAsia="宋体" w:hAnsi="宋体" w:cs="宋体" w:hint="eastAsia"/>
        <w:b/>
      </w:rPr>
    </w:lvl>
    <w:lvl w:ilvl="2">
      <w:start w:val="1"/>
      <w:numFmt w:val="decimal"/>
      <w:lvlText w:val="%1.%2.%3"/>
      <w:lvlJc w:val="left"/>
      <w:pPr>
        <w:ind w:left="720" w:hanging="720"/>
      </w:pPr>
      <w:rPr>
        <w:rFonts w:ascii="Times New Roman" w:eastAsia="宋体" w:hAnsi="Times New Roman" w:cs="Times New Roman" w:hint="eastAsia"/>
        <w:b/>
      </w:rPr>
    </w:lvl>
    <w:lvl w:ilvl="3">
      <w:start w:val="1"/>
      <w:numFmt w:val="decimal"/>
      <w:pStyle w:val="4"/>
      <w:lvlText w:val="%1.%2.%3.%4"/>
      <w:lvlJc w:val="left"/>
      <w:pPr>
        <w:ind w:left="864" w:hanging="864"/>
      </w:pPr>
      <w:rPr>
        <w:rFonts w:ascii="Times New Roman" w:eastAsia="宋体" w:hAnsi="Times New Roman" w:cs="Times New Roman" w:hint="eastAsia"/>
      </w:rPr>
    </w:lvl>
    <w:lvl w:ilvl="4">
      <w:start w:val="1"/>
      <w:numFmt w:val="decimal"/>
      <w:pStyle w:val="5"/>
      <w:lvlText w:val="%1.%2.%3.%4.%5."/>
      <w:lvlJc w:val="left"/>
      <w:pPr>
        <w:ind w:left="1008" w:hanging="1008"/>
      </w:pPr>
      <w:rPr>
        <w:rFonts w:hint="eastAsia"/>
      </w:rPr>
    </w:lvl>
    <w:lvl w:ilvl="5">
      <w:start w:val="1"/>
      <w:numFmt w:val="decimal"/>
      <w:pStyle w:val="6"/>
      <w:lvlText w:val="%1.%2.%3.%4.%5.%6."/>
      <w:lvlJc w:val="left"/>
      <w:pPr>
        <w:ind w:left="1151" w:hanging="1151"/>
      </w:pPr>
      <w:rPr>
        <w:rFonts w:hint="eastAsia"/>
      </w:rPr>
    </w:lvl>
    <w:lvl w:ilvl="6">
      <w:start w:val="1"/>
      <w:numFmt w:val="decimal"/>
      <w:pStyle w:val="7"/>
      <w:lvlText w:val="%1.%2.%3.%4.%5.%6.%7."/>
      <w:lvlJc w:val="left"/>
      <w:pPr>
        <w:ind w:left="1296" w:hanging="1296"/>
      </w:pPr>
      <w:rPr>
        <w:rFonts w:hint="eastAsia"/>
      </w:rPr>
    </w:lvl>
    <w:lvl w:ilvl="7">
      <w:start w:val="1"/>
      <w:numFmt w:val="decimal"/>
      <w:pStyle w:val="8"/>
      <w:lvlText w:val="%1.%2.%3.%4.%5.%6.%7.%8."/>
      <w:lvlJc w:val="left"/>
      <w:pPr>
        <w:ind w:left="1440" w:hanging="1440"/>
      </w:pPr>
      <w:rPr>
        <w:rFonts w:hint="eastAsia"/>
      </w:rPr>
    </w:lvl>
    <w:lvl w:ilvl="8">
      <w:start w:val="1"/>
      <w:numFmt w:val="decimal"/>
      <w:pStyle w:val="9"/>
      <w:lvlText w:val="%1.%2.%3.%4.%5.%6.%7.%8.%9."/>
      <w:lvlJc w:val="left"/>
      <w:pPr>
        <w:ind w:left="1583" w:hanging="1583"/>
      </w:pPr>
      <w:rPr>
        <w:rFonts w:hint="eastAsia"/>
      </w:rPr>
    </w:lvl>
  </w:abstractNum>
  <w:num w:numId="1">
    <w:abstractNumId w:val="4"/>
  </w:num>
  <w:num w:numId="2">
    <w:abstractNumId w:val="0"/>
  </w:num>
  <w:num w:numId="3">
    <w:abstractNumId w:val="2"/>
  </w:num>
  <w:num w:numId="4">
    <w:abstractNumId w:val="1"/>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proofState w:spelling="clean" w:grammar="clean"/>
  <w:defaultTabStop w:val="420"/>
  <w:drawingGridHorizontalSpacing w:val="160"/>
  <w:drawingGridVerticalSpacing w:val="435"/>
  <w:noPunctuationKerning/>
  <w:characterSpacingControl w:val="compressPunctuation"/>
  <w:hdrShapeDefaults>
    <o:shapedefaults v:ext="edit" spidmax="5122"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
  <w:docVars>
    <w:docVar w:name="commondata" w:val="eyJoZGlkIjoiZmM3OWE5ZmFlNGRlOWVlYjI4ZGZkY2Q2YWIzMGYyODQifQ=="/>
  </w:docVars>
  <w:rsids>
    <w:rsidRoot w:val="00D00D0B"/>
    <w:rsid w:val="F7F6B4D3"/>
    <w:rsid w:val="F7F72C4A"/>
    <w:rsid w:val="FB4FE7E2"/>
    <w:rsid w:val="FB57DBB2"/>
    <w:rsid w:val="FBFFB56B"/>
    <w:rsid w:val="FCFDB47A"/>
    <w:rsid w:val="FDEF6147"/>
    <w:rsid w:val="FE9FBC8C"/>
    <w:rsid w:val="FF022693"/>
    <w:rsid w:val="FFB13242"/>
    <w:rsid w:val="FFBF3331"/>
    <w:rsid w:val="FFEE0BAD"/>
    <w:rsid w:val="FFFB17C4"/>
    <w:rsid w:val="002D5155"/>
    <w:rsid w:val="004C77AE"/>
    <w:rsid w:val="00CC58E9"/>
    <w:rsid w:val="00D00D0B"/>
    <w:rsid w:val="00DB75FB"/>
    <w:rsid w:val="00FD0360"/>
    <w:rsid w:val="167238B2"/>
    <w:rsid w:val="25EFDBDF"/>
    <w:rsid w:val="353E149E"/>
    <w:rsid w:val="359B7E5D"/>
    <w:rsid w:val="3636FF8B"/>
    <w:rsid w:val="3CFFD70F"/>
    <w:rsid w:val="3E9A1CF9"/>
    <w:rsid w:val="3FFEF61A"/>
    <w:rsid w:val="4358253F"/>
    <w:rsid w:val="47BFBF76"/>
    <w:rsid w:val="4E580CB0"/>
    <w:rsid w:val="545F20E6"/>
    <w:rsid w:val="5BAE94F3"/>
    <w:rsid w:val="5EDED1FD"/>
    <w:rsid w:val="5FFA9D94"/>
    <w:rsid w:val="64CE40B9"/>
    <w:rsid w:val="6B6B96B8"/>
    <w:rsid w:val="6CB2B752"/>
    <w:rsid w:val="6EF33B4C"/>
    <w:rsid w:val="6EFD5F9D"/>
    <w:rsid w:val="6EFF14F3"/>
    <w:rsid w:val="6F7F06C8"/>
    <w:rsid w:val="6FDB6592"/>
    <w:rsid w:val="6FFF2FD4"/>
    <w:rsid w:val="72D76019"/>
    <w:rsid w:val="73BD62F3"/>
    <w:rsid w:val="73BE50C7"/>
    <w:rsid w:val="76555BE6"/>
    <w:rsid w:val="76FBD50F"/>
    <w:rsid w:val="773FC128"/>
    <w:rsid w:val="774F86CD"/>
    <w:rsid w:val="777B3297"/>
    <w:rsid w:val="77EE07E5"/>
    <w:rsid w:val="77EF5282"/>
    <w:rsid w:val="79F578F9"/>
    <w:rsid w:val="7AE079F6"/>
    <w:rsid w:val="7BBF1990"/>
    <w:rsid w:val="7BEFD04D"/>
    <w:rsid w:val="7CEED639"/>
    <w:rsid w:val="7DBFA90C"/>
    <w:rsid w:val="7E8784B3"/>
    <w:rsid w:val="7E8C6A6D"/>
    <w:rsid w:val="7EDF9E95"/>
    <w:rsid w:val="7EEB16A7"/>
    <w:rsid w:val="7F5EFE73"/>
    <w:rsid w:val="7F7B8C2F"/>
    <w:rsid w:val="7FD7524D"/>
    <w:rsid w:val="7FF1350F"/>
    <w:rsid w:val="7FF71918"/>
    <w:rsid w:val="7FFF83AF"/>
    <w:rsid w:val="7FFFCB7B"/>
    <w:rsid w:val="96FD944E"/>
    <w:rsid w:val="977FD9E2"/>
    <w:rsid w:val="997F40BA"/>
    <w:rsid w:val="ABB4896A"/>
    <w:rsid w:val="AFB72C2A"/>
    <w:rsid w:val="AFBBC1A6"/>
    <w:rsid w:val="B1FF7092"/>
    <w:rsid w:val="BDEFC015"/>
    <w:rsid w:val="BFEFF150"/>
    <w:rsid w:val="BFFB1BE2"/>
    <w:rsid w:val="BFFC5FEC"/>
    <w:rsid w:val="CBAF958E"/>
    <w:rsid w:val="CFBD69B7"/>
    <w:rsid w:val="D7F83F7F"/>
    <w:rsid w:val="DBD9F8B2"/>
    <w:rsid w:val="DBDBFAA9"/>
    <w:rsid w:val="DDAE2CB6"/>
    <w:rsid w:val="DF3D0EEB"/>
    <w:rsid w:val="DFFDF187"/>
    <w:rsid w:val="E79D5429"/>
    <w:rsid w:val="EBFFFD54"/>
    <w:rsid w:val="EED745F4"/>
    <w:rsid w:val="EEFF9359"/>
    <w:rsid w:val="EFDC2A57"/>
    <w:rsid w:val="F6EFCA1E"/>
    <w:rsid w:val="F6FF6A3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semiHidden="0" w:uiPriority="39" w:unhideWhenUsed="0" w:qFormat="1"/>
    <w:lsdException w:name="toc 2" w:semiHidden="0" w:uiPriority="39" w:unhideWhenUsed="0" w:qFormat="1"/>
    <w:lsdException w:name="toc 3" w:semiHidden="0" w:uiPriority="39"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uiPriority="0" w:unhideWhenUsed="0" w:qFormat="1"/>
    <w:lsdException w:name="annotation text" w:semiHidden="0" w:uiPriority="0" w:unhideWhenUsed="0" w:qFormat="1"/>
    <w:lsdException w:name="header" w:semiHidden="0" w:qFormat="1"/>
    <w:lsdException w:name="footer" w:semiHidden="0" w:qFormat="1"/>
    <w:lsdException w:name="caption" w:semiHidden="0" w:uiPriority="35" w:qFormat="1"/>
    <w:lsdException w:name="line number" w:qFormat="1"/>
    <w:lsdException w:name="page number" w:qFormat="1"/>
    <w:lsdException w:name="Title" w:semiHidden="0" w:uiPriority="10" w:unhideWhenUsed="0" w:qFormat="1"/>
    <w:lsdException w:name="Default Paragraph Font" w:semiHidden="0" w:uiPriority="1" w:qFormat="1"/>
    <w:lsdException w:name="Body Text" w:semiHidden="0" w:unhideWhenUsed="0" w:qFormat="1"/>
    <w:lsdException w:name="Body Text Indent" w:semiHidden="0" w:uiPriority="0" w:unhideWhenUsed="0" w:qFormat="1"/>
    <w:lsdException w:name="Subtitle" w:semiHidden="0" w:uiPriority="11" w:unhideWhenUsed="0" w:qFormat="1"/>
    <w:lsdException w:name="Note Heading" w:semiHidden="0" w:unhideWhenUsed="0"/>
    <w:lsdException w:name="Hyperlink" w:semiHidden="0" w:unhideWhenUsed="0" w:qFormat="1"/>
    <w:lsdException w:name="FollowedHyperlink" w:qFormat="1"/>
    <w:lsdException w:name="Strong" w:semiHidden="0" w:uiPriority="0" w:unhideWhenUsed="0" w:qFormat="1"/>
    <w:lsdException w:name="Emphasis" w:semiHidden="0" w:uiPriority="20" w:unhideWhenUsed="0" w:qFormat="1"/>
    <w:lsdException w:name="Normal (Web)" w:qFormat="1"/>
    <w:lsdException w:name="HTML Preformatted" w:semiHidden="0" w:uiPriority="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2">
    <w:name w:val="Normal"/>
    <w:qFormat/>
    <w:rsid w:val="00D00D0B"/>
    <w:pPr>
      <w:widowControl w:val="0"/>
      <w:spacing w:line="360" w:lineRule="auto"/>
      <w:ind w:firstLineChars="200" w:firstLine="803"/>
      <w:jc w:val="both"/>
    </w:pPr>
    <w:rPr>
      <w:rFonts w:eastAsia="方正仿宋_GBK" w:cs="宋体"/>
      <w:kern w:val="2"/>
      <w:sz w:val="32"/>
      <w:szCs w:val="22"/>
    </w:rPr>
  </w:style>
  <w:style w:type="paragraph" w:styleId="1">
    <w:name w:val="heading 1"/>
    <w:basedOn w:val="2"/>
    <w:next w:val="a2"/>
    <w:link w:val="1Char"/>
    <w:uiPriority w:val="9"/>
    <w:qFormat/>
    <w:rsid w:val="00D00D0B"/>
    <w:pPr>
      <w:tabs>
        <w:tab w:val="right" w:leader="dot" w:pos="9897"/>
      </w:tabs>
      <w:adjustRightInd w:val="0"/>
      <w:snapToGrid w:val="0"/>
      <w:spacing w:line="360" w:lineRule="auto"/>
      <w:ind w:left="0"/>
      <w:jc w:val="center"/>
      <w:outlineLvl w:val="0"/>
    </w:pPr>
    <w:rPr>
      <w:rFonts w:ascii="黑体" w:eastAsia="黑体" w:hAnsi="黑体" w:cs="黑体"/>
      <w:bCs/>
      <w:color w:val="000000" w:themeColor="text1"/>
      <w:kern w:val="2"/>
      <w:sz w:val="32"/>
      <w:szCs w:val="32"/>
    </w:rPr>
  </w:style>
  <w:style w:type="paragraph" w:styleId="20">
    <w:name w:val="heading 2"/>
    <w:basedOn w:val="a2"/>
    <w:next w:val="a2"/>
    <w:link w:val="2Char"/>
    <w:uiPriority w:val="9"/>
    <w:qFormat/>
    <w:rsid w:val="00D00D0B"/>
    <w:pPr>
      <w:widowControl/>
      <w:kinsoku w:val="0"/>
      <w:autoSpaceDE w:val="0"/>
      <w:autoSpaceDN w:val="0"/>
      <w:adjustRightInd w:val="0"/>
      <w:snapToGrid w:val="0"/>
      <w:spacing w:beforeLines="50" w:afterLines="20" w:line="240" w:lineRule="auto"/>
      <w:ind w:firstLineChars="0" w:firstLine="0"/>
      <w:textAlignment w:val="baseline"/>
      <w:outlineLvl w:val="1"/>
    </w:pPr>
    <w:rPr>
      <w:rFonts w:ascii="黑体" w:eastAsia="黑体" w:hAnsi="黑体" w:cs="黑体"/>
      <w:bCs/>
      <w:snapToGrid w:val="0"/>
      <w:color w:val="000000" w:themeColor="text1"/>
      <w:spacing w:val="6"/>
      <w:kern w:val="0"/>
      <w:sz w:val="30"/>
      <w:szCs w:val="30"/>
    </w:rPr>
  </w:style>
  <w:style w:type="paragraph" w:styleId="3">
    <w:name w:val="heading 3"/>
    <w:basedOn w:val="a2"/>
    <w:next w:val="a2"/>
    <w:link w:val="3Char"/>
    <w:qFormat/>
    <w:rsid w:val="00D00D0B"/>
    <w:pPr>
      <w:widowControl/>
      <w:kinsoku w:val="0"/>
      <w:autoSpaceDE w:val="0"/>
      <w:autoSpaceDN w:val="0"/>
      <w:adjustRightInd w:val="0"/>
      <w:snapToGrid w:val="0"/>
      <w:spacing w:beforeLines="50" w:afterLines="20" w:line="240" w:lineRule="auto"/>
      <w:ind w:firstLine="584"/>
      <w:textAlignment w:val="baseline"/>
      <w:outlineLvl w:val="2"/>
    </w:pPr>
    <w:rPr>
      <w:rFonts w:ascii="黑体" w:eastAsia="黑体" w:hAnsi="黑体" w:cs="黑体"/>
      <w:bCs/>
      <w:snapToGrid w:val="0"/>
      <w:color w:val="000000" w:themeColor="text1"/>
      <w:spacing w:val="6"/>
      <w:kern w:val="0"/>
      <w:sz w:val="28"/>
      <w:szCs w:val="28"/>
    </w:rPr>
  </w:style>
  <w:style w:type="paragraph" w:styleId="4">
    <w:name w:val="heading 4"/>
    <w:basedOn w:val="a2"/>
    <w:next w:val="a2"/>
    <w:link w:val="4Char"/>
    <w:qFormat/>
    <w:rsid w:val="00D00D0B"/>
    <w:pPr>
      <w:keepNext/>
      <w:keepLines/>
      <w:numPr>
        <w:ilvl w:val="3"/>
        <w:numId w:val="1"/>
      </w:numPr>
      <w:ind w:firstLineChars="0" w:firstLine="0"/>
      <w:outlineLvl w:val="3"/>
    </w:pPr>
    <w:rPr>
      <w:rFonts w:eastAsia="宋体"/>
      <w:b/>
      <w:sz w:val="28"/>
    </w:rPr>
  </w:style>
  <w:style w:type="paragraph" w:styleId="5">
    <w:name w:val="heading 5"/>
    <w:basedOn w:val="a2"/>
    <w:next w:val="a2"/>
    <w:link w:val="5Char"/>
    <w:qFormat/>
    <w:rsid w:val="00D00D0B"/>
    <w:pPr>
      <w:keepNext/>
      <w:keepLines/>
      <w:numPr>
        <w:ilvl w:val="4"/>
        <w:numId w:val="1"/>
      </w:numPr>
      <w:spacing w:before="280" w:after="290" w:line="372" w:lineRule="auto"/>
      <w:ind w:firstLineChars="0" w:firstLine="0"/>
      <w:outlineLvl w:val="4"/>
    </w:pPr>
    <w:rPr>
      <w:b/>
      <w:sz w:val="28"/>
    </w:rPr>
  </w:style>
  <w:style w:type="paragraph" w:styleId="6">
    <w:name w:val="heading 6"/>
    <w:basedOn w:val="a2"/>
    <w:next w:val="a2"/>
    <w:link w:val="6Char"/>
    <w:qFormat/>
    <w:rsid w:val="00D00D0B"/>
    <w:pPr>
      <w:keepNext/>
      <w:keepLines/>
      <w:numPr>
        <w:ilvl w:val="5"/>
        <w:numId w:val="1"/>
      </w:numPr>
      <w:spacing w:before="240" w:after="64" w:line="317" w:lineRule="auto"/>
      <w:ind w:firstLineChars="0" w:firstLine="0"/>
      <w:outlineLvl w:val="5"/>
    </w:pPr>
    <w:rPr>
      <w:rFonts w:ascii="Arial" w:eastAsia="黑体" w:hAnsi="Arial"/>
      <w:b/>
      <w:sz w:val="24"/>
    </w:rPr>
  </w:style>
  <w:style w:type="paragraph" w:styleId="7">
    <w:name w:val="heading 7"/>
    <w:basedOn w:val="a2"/>
    <w:next w:val="a2"/>
    <w:link w:val="7Char"/>
    <w:qFormat/>
    <w:rsid w:val="00D00D0B"/>
    <w:pPr>
      <w:keepNext/>
      <w:keepLines/>
      <w:numPr>
        <w:ilvl w:val="6"/>
        <w:numId w:val="1"/>
      </w:numPr>
      <w:spacing w:before="240" w:after="64" w:line="317" w:lineRule="auto"/>
      <w:ind w:firstLineChars="0" w:firstLine="0"/>
      <w:outlineLvl w:val="6"/>
    </w:pPr>
    <w:rPr>
      <w:b/>
      <w:sz w:val="24"/>
    </w:rPr>
  </w:style>
  <w:style w:type="paragraph" w:styleId="8">
    <w:name w:val="heading 8"/>
    <w:basedOn w:val="a2"/>
    <w:next w:val="a2"/>
    <w:link w:val="8Char"/>
    <w:qFormat/>
    <w:rsid w:val="00D00D0B"/>
    <w:pPr>
      <w:keepNext/>
      <w:keepLines/>
      <w:numPr>
        <w:ilvl w:val="7"/>
        <w:numId w:val="1"/>
      </w:numPr>
      <w:spacing w:before="240" w:after="64" w:line="317" w:lineRule="auto"/>
      <w:ind w:firstLineChars="0" w:firstLine="0"/>
      <w:outlineLvl w:val="7"/>
    </w:pPr>
    <w:rPr>
      <w:rFonts w:ascii="Arial" w:eastAsia="黑体" w:hAnsi="Arial"/>
      <w:sz w:val="24"/>
    </w:rPr>
  </w:style>
  <w:style w:type="paragraph" w:styleId="9">
    <w:name w:val="heading 9"/>
    <w:basedOn w:val="a2"/>
    <w:next w:val="a2"/>
    <w:link w:val="9Char"/>
    <w:qFormat/>
    <w:rsid w:val="00D00D0B"/>
    <w:pPr>
      <w:keepNext/>
      <w:keepLines/>
      <w:numPr>
        <w:ilvl w:val="8"/>
        <w:numId w:val="1"/>
      </w:numPr>
      <w:spacing w:before="240" w:after="64" w:line="317" w:lineRule="auto"/>
      <w:ind w:firstLineChars="0" w:firstLine="0"/>
      <w:outlineLvl w:val="8"/>
    </w:pPr>
    <w:rPr>
      <w:rFonts w:ascii="Arial" w:eastAsia="黑体" w:hAnsi="Arial"/>
      <w:sz w:val="21"/>
    </w:rPr>
  </w:style>
  <w:style w:type="character" w:default="1" w:styleId="a3">
    <w:name w:val="Default Paragraph Font"/>
    <w:uiPriority w:val="1"/>
    <w:semiHidden/>
    <w:unhideWhenUsed/>
  </w:style>
  <w:style w:type="table" w:default="1" w:styleId="a4">
    <w:name w:val="Normal Table"/>
    <w:uiPriority w:val="99"/>
    <w:semiHidden/>
    <w:unhideWhenUsed/>
    <w:qFormat/>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2">
    <w:name w:val="toc 2"/>
    <w:basedOn w:val="a2"/>
    <w:next w:val="a2"/>
    <w:uiPriority w:val="39"/>
    <w:qFormat/>
    <w:rsid w:val="00D00D0B"/>
    <w:pPr>
      <w:widowControl/>
      <w:spacing w:after="100" w:line="259" w:lineRule="auto"/>
      <w:ind w:left="220" w:firstLineChars="0" w:firstLine="0"/>
      <w:jc w:val="left"/>
    </w:pPr>
    <w:rPr>
      <w:rFonts w:ascii="Calibri" w:eastAsia="宋体" w:hAnsi="Calibri" w:cs="Times New Roman"/>
      <w:kern w:val="0"/>
      <w:sz w:val="22"/>
    </w:rPr>
  </w:style>
  <w:style w:type="paragraph" w:styleId="a6">
    <w:name w:val="caption"/>
    <w:basedOn w:val="a2"/>
    <w:next w:val="a2"/>
    <w:uiPriority w:val="35"/>
    <w:unhideWhenUsed/>
    <w:qFormat/>
    <w:rsid w:val="00D00D0B"/>
    <w:rPr>
      <w:rFonts w:asciiTheme="majorHAnsi" w:eastAsia="黑体" w:hAnsiTheme="majorHAnsi" w:cstheme="majorBidi"/>
      <w:sz w:val="20"/>
      <w:szCs w:val="20"/>
    </w:rPr>
  </w:style>
  <w:style w:type="paragraph" w:styleId="a7">
    <w:name w:val="annotation text"/>
    <w:basedOn w:val="a2"/>
    <w:link w:val="Char"/>
    <w:qFormat/>
    <w:rsid w:val="00D00D0B"/>
    <w:pPr>
      <w:jc w:val="left"/>
    </w:pPr>
  </w:style>
  <w:style w:type="paragraph" w:styleId="a8">
    <w:name w:val="Body Text"/>
    <w:basedOn w:val="a2"/>
    <w:link w:val="Char0"/>
    <w:uiPriority w:val="99"/>
    <w:qFormat/>
    <w:rsid w:val="00D00D0B"/>
    <w:pPr>
      <w:spacing w:after="120"/>
    </w:pPr>
  </w:style>
  <w:style w:type="paragraph" w:styleId="a9">
    <w:name w:val="Body Text Indent"/>
    <w:basedOn w:val="a2"/>
    <w:qFormat/>
    <w:rsid w:val="00D00D0B"/>
    <w:pPr>
      <w:ind w:firstLine="420"/>
    </w:pPr>
    <w:rPr>
      <w:szCs w:val="20"/>
    </w:rPr>
  </w:style>
  <w:style w:type="paragraph" w:styleId="30">
    <w:name w:val="toc 3"/>
    <w:basedOn w:val="a2"/>
    <w:next w:val="a2"/>
    <w:uiPriority w:val="39"/>
    <w:qFormat/>
    <w:rsid w:val="00D00D0B"/>
    <w:pPr>
      <w:widowControl/>
      <w:spacing w:after="100" w:line="259" w:lineRule="auto"/>
      <w:ind w:left="440" w:firstLineChars="0" w:firstLine="0"/>
      <w:jc w:val="left"/>
    </w:pPr>
    <w:rPr>
      <w:rFonts w:ascii="Calibri" w:eastAsia="宋体" w:hAnsi="Calibri" w:cs="Times New Roman"/>
      <w:kern w:val="0"/>
      <w:sz w:val="22"/>
    </w:rPr>
  </w:style>
  <w:style w:type="paragraph" w:styleId="aa">
    <w:name w:val="footer"/>
    <w:basedOn w:val="a2"/>
    <w:link w:val="Char1"/>
    <w:uiPriority w:val="99"/>
    <w:unhideWhenUsed/>
    <w:qFormat/>
    <w:rsid w:val="00D00D0B"/>
    <w:pPr>
      <w:tabs>
        <w:tab w:val="center" w:pos="4153"/>
        <w:tab w:val="right" w:pos="8306"/>
      </w:tabs>
      <w:snapToGrid w:val="0"/>
      <w:jc w:val="left"/>
    </w:pPr>
    <w:rPr>
      <w:sz w:val="18"/>
      <w:szCs w:val="18"/>
    </w:rPr>
  </w:style>
  <w:style w:type="paragraph" w:styleId="ab">
    <w:name w:val="header"/>
    <w:basedOn w:val="a2"/>
    <w:link w:val="Char2"/>
    <w:uiPriority w:val="99"/>
    <w:unhideWhenUsed/>
    <w:qFormat/>
    <w:rsid w:val="00D00D0B"/>
    <w:pPr>
      <w:tabs>
        <w:tab w:val="center" w:pos="4153"/>
        <w:tab w:val="right" w:pos="8306"/>
      </w:tabs>
      <w:snapToGrid w:val="0"/>
      <w:jc w:val="center"/>
    </w:pPr>
    <w:rPr>
      <w:sz w:val="18"/>
      <w:szCs w:val="18"/>
    </w:rPr>
  </w:style>
  <w:style w:type="paragraph" w:styleId="10">
    <w:name w:val="toc 1"/>
    <w:basedOn w:val="a2"/>
    <w:next w:val="a2"/>
    <w:uiPriority w:val="39"/>
    <w:qFormat/>
    <w:rsid w:val="00D00D0B"/>
    <w:pPr>
      <w:widowControl/>
      <w:spacing w:after="100" w:line="259" w:lineRule="auto"/>
      <w:ind w:firstLineChars="0" w:firstLine="0"/>
      <w:jc w:val="left"/>
    </w:pPr>
    <w:rPr>
      <w:rFonts w:ascii="Calibri" w:eastAsia="宋体" w:hAnsi="Calibri" w:cs="Times New Roman"/>
      <w:kern w:val="0"/>
      <w:sz w:val="22"/>
    </w:rPr>
  </w:style>
  <w:style w:type="paragraph" w:styleId="ac">
    <w:name w:val="footnote text"/>
    <w:basedOn w:val="a2"/>
    <w:link w:val="Char3"/>
    <w:qFormat/>
    <w:rsid w:val="00D00D0B"/>
    <w:pPr>
      <w:snapToGrid w:val="0"/>
      <w:jc w:val="left"/>
    </w:pPr>
    <w:rPr>
      <w:sz w:val="18"/>
    </w:rPr>
  </w:style>
  <w:style w:type="paragraph" w:styleId="HTML">
    <w:name w:val="HTML Preformatted"/>
    <w:basedOn w:val="a2"/>
    <w:link w:val="HTMLChar"/>
    <w:qFormat/>
    <w:rsid w:val="00D00D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hint="eastAsia"/>
      <w:kern w:val="0"/>
      <w:sz w:val="24"/>
      <w:szCs w:val="24"/>
    </w:rPr>
  </w:style>
  <w:style w:type="paragraph" w:styleId="ad">
    <w:name w:val="Normal (Web)"/>
    <w:basedOn w:val="a2"/>
    <w:uiPriority w:val="99"/>
    <w:semiHidden/>
    <w:unhideWhenUsed/>
    <w:qFormat/>
    <w:rsid w:val="00D00D0B"/>
    <w:pPr>
      <w:spacing w:beforeAutospacing="1" w:afterAutospacing="1"/>
      <w:jc w:val="left"/>
    </w:pPr>
    <w:rPr>
      <w:rFonts w:cs="Times New Roman"/>
      <w:kern w:val="0"/>
      <w:sz w:val="24"/>
    </w:rPr>
  </w:style>
  <w:style w:type="table" w:styleId="ae">
    <w:name w:val="Table Grid"/>
    <w:basedOn w:val="a4"/>
    <w:uiPriority w:val="59"/>
    <w:qFormat/>
    <w:rsid w:val="00D00D0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
    <w:name w:val="Strong"/>
    <w:basedOn w:val="a3"/>
    <w:qFormat/>
    <w:rsid w:val="00D00D0B"/>
    <w:rPr>
      <w:b/>
    </w:rPr>
  </w:style>
  <w:style w:type="character" w:styleId="af0">
    <w:name w:val="page number"/>
    <w:basedOn w:val="a3"/>
    <w:uiPriority w:val="99"/>
    <w:semiHidden/>
    <w:unhideWhenUsed/>
    <w:qFormat/>
    <w:rsid w:val="00D00D0B"/>
  </w:style>
  <w:style w:type="character" w:styleId="af1">
    <w:name w:val="FollowedHyperlink"/>
    <w:basedOn w:val="a3"/>
    <w:uiPriority w:val="99"/>
    <w:semiHidden/>
    <w:unhideWhenUsed/>
    <w:qFormat/>
    <w:rsid w:val="00D00D0B"/>
    <w:rPr>
      <w:color w:val="954F72" w:themeColor="followedHyperlink"/>
      <w:u w:val="single"/>
    </w:rPr>
  </w:style>
  <w:style w:type="character" w:styleId="af2">
    <w:name w:val="line number"/>
    <w:basedOn w:val="a3"/>
    <w:uiPriority w:val="99"/>
    <w:semiHidden/>
    <w:unhideWhenUsed/>
    <w:qFormat/>
    <w:rsid w:val="00D00D0B"/>
  </w:style>
  <w:style w:type="character" w:styleId="af3">
    <w:name w:val="Hyperlink"/>
    <w:basedOn w:val="a3"/>
    <w:uiPriority w:val="99"/>
    <w:qFormat/>
    <w:rsid w:val="00D00D0B"/>
    <w:rPr>
      <w:color w:val="0000FF"/>
      <w:u w:val="single"/>
    </w:rPr>
  </w:style>
  <w:style w:type="character" w:customStyle="1" w:styleId="Char2">
    <w:name w:val="页眉 Char"/>
    <w:basedOn w:val="a3"/>
    <w:link w:val="ab"/>
    <w:uiPriority w:val="99"/>
    <w:qFormat/>
    <w:rsid w:val="00D00D0B"/>
    <w:rPr>
      <w:sz w:val="18"/>
      <w:szCs w:val="18"/>
    </w:rPr>
  </w:style>
  <w:style w:type="character" w:customStyle="1" w:styleId="Char1">
    <w:name w:val="页脚 Char"/>
    <w:basedOn w:val="a3"/>
    <w:link w:val="aa"/>
    <w:uiPriority w:val="99"/>
    <w:qFormat/>
    <w:rsid w:val="00D00D0B"/>
    <w:rPr>
      <w:sz w:val="18"/>
      <w:szCs w:val="18"/>
    </w:rPr>
  </w:style>
  <w:style w:type="character" w:customStyle="1" w:styleId="1Char">
    <w:name w:val="标题 1 Char"/>
    <w:link w:val="1"/>
    <w:uiPriority w:val="9"/>
    <w:qFormat/>
    <w:rsid w:val="00D00D0B"/>
    <w:rPr>
      <w:rFonts w:ascii="黑体" w:eastAsia="黑体" w:hAnsi="黑体" w:cs="黑体"/>
      <w:bCs/>
      <w:color w:val="000000" w:themeColor="text1"/>
      <w:kern w:val="2"/>
      <w:sz w:val="32"/>
      <w:szCs w:val="32"/>
      <w:lang w:val="en-US" w:eastAsia="zh-CN" w:bidi="ar-SA"/>
    </w:rPr>
  </w:style>
  <w:style w:type="character" w:customStyle="1" w:styleId="2Char">
    <w:name w:val="标题 2 Char"/>
    <w:link w:val="20"/>
    <w:uiPriority w:val="9"/>
    <w:qFormat/>
    <w:rsid w:val="00D00D0B"/>
    <w:rPr>
      <w:rFonts w:ascii="黑体" w:eastAsia="黑体" w:hAnsi="黑体" w:cs="黑体"/>
      <w:bCs/>
      <w:snapToGrid w:val="0"/>
      <w:color w:val="000000" w:themeColor="text1"/>
      <w:spacing w:val="6"/>
      <w:kern w:val="0"/>
      <w:sz w:val="30"/>
      <w:szCs w:val="30"/>
      <w:lang w:val="en-US" w:eastAsia="zh-CN" w:bidi="ar-SA"/>
    </w:rPr>
  </w:style>
  <w:style w:type="character" w:customStyle="1" w:styleId="3Char">
    <w:name w:val="标题 3 Char"/>
    <w:link w:val="3"/>
    <w:qFormat/>
    <w:rsid w:val="00D00D0B"/>
    <w:rPr>
      <w:rFonts w:ascii="黑体" w:eastAsia="黑体" w:hAnsi="黑体" w:cs="黑体"/>
      <w:bCs/>
      <w:snapToGrid w:val="0"/>
      <w:color w:val="000000" w:themeColor="text1"/>
      <w:spacing w:val="6"/>
      <w:kern w:val="0"/>
      <w:sz w:val="28"/>
      <w:szCs w:val="28"/>
      <w:lang w:val="en-US" w:eastAsia="zh-CN" w:bidi="ar-SA"/>
    </w:rPr>
  </w:style>
  <w:style w:type="character" w:customStyle="1" w:styleId="4Char">
    <w:name w:val="标题 4 Char"/>
    <w:basedOn w:val="a3"/>
    <w:link w:val="4"/>
    <w:qFormat/>
    <w:rsid w:val="00D00D0B"/>
    <w:rPr>
      <w:rFonts w:ascii="Times New Roman" w:eastAsia="宋体" w:hAnsi="Times New Roman" w:cs="宋体"/>
      <w:b/>
      <w:sz w:val="28"/>
    </w:rPr>
  </w:style>
  <w:style w:type="character" w:customStyle="1" w:styleId="5Char">
    <w:name w:val="标题 5 Char"/>
    <w:basedOn w:val="a3"/>
    <w:link w:val="5"/>
    <w:qFormat/>
    <w:rsid w:val="00D00D0B"/>
    <w:rPr>
      <w:rFonts w:ascii="Times New Roman" w:eastAsia="方正仿宋_GBK" w:hAnsi="Times New Roman" w:cs="宋体"/>
      <w:b/>
      <w:sz w:val="28"/>
    </w:rPr>
  </w:style>
  <w:style w:type="character" w:customStyle="1" w:styleId="6Char">
    <w:name w:val="标题 6 Char"/>
    <w:basedOn w:val="a3"/>
    <w:link w:val="6"/>
    <w:qFormat/>
    <w:rsid w:val="00D00D0B"/>
    <w:rPr>
      <w:rFonts w:ascii="Arial" w:eastAsia="黑体" w:hAnsi="Arial" w:cs="宋体"/>
      <w:b/>
      <w:sz w:val="24"/>
    </w:rPr>
  </w:style>
  <w:style w:type="character" w:customStyle="1" w:styleId="7Char">
    <w:name w:val="标题 7 Char"/>
    <w:basedOn w:val="a3"/>
    <w:link w:val="7"/>
    <w:qFormat/>
    <w:rsid w:val="00D00D0B"/>
    <w:rPr>
      <w:rFonts w:ascii="Times New Roman" w:eastAsia="方正仿宋_GBK" w:hAnsi="Times New Roman" w:cs="宋体"/>
      <w:b/>
      <w:sz w:val="24"/>
    </w:rPr>
  </w:style>
  <w:style w:type="character" w:customStyle="1" w:styleId="8Char">
    <w:name w:val="标题 8 Char"/>
    <w:basedOn w:val="a3"/>
    <w:link w:val="8"/>
    <w:qFormat/>
    <w:rsid w:val="00D00D0B"/>
    <w:rPr>
      <w:rFonts w:ascii="Arial" w:eastAsia="黑体" w:hAnsi="Arial" w:cs="宋体"/>
      <w:sz w:val="24"/>
    </w:rPr>
  </w:style>
  <w:style w:type="character" w:customStyle="1" w:styleId="9Char">
    <w:name w:val="标题 9 Char"/>
    <w:basedOn w:val="a3"/>
    <w:link w:val="9"/>
    <w:qFormat/>
    <w:rsid w:val="00D00D0B"/>
    <w:rPr>
      <w:rFonts w:ascii="Arial" w:eastAsia="黑体" w:hAnsi="Arial" w:cs="宋体"/>
    </w:rPr>
  </w:style>
  <w:style w:type="character" w:customStyle="1" w:styleId="Char0">
    <w:name w:val="正文文本 Char"/>
    <w:basedOn w:val="a3"/>
    <w:link w:val="a8"/>
    <w:uiPriority w:val="99"/>
    <w:qFormat/>
    <w:rsid w:val="00D00D0B"/>
    <w:rPr>
      <w:rFonts w:ascii="Times New Roman" w:eastAsia="方正仿宋_GBK" w:hAnsi="Times New Roman" w:cs="宋体"/>
      <w:sz w:val="32"/>
    </w:rPr>
  </w:style>
  <w:style w:type="character" w:customStyle="1" w:styleId="Char">
    <w:name w:val="批注文字 Char"/>
    <w:basedOn w:val="a3"/>
    <w:link w:val="a7"/>
    <w:qFormat/>
    <w:rsid w:val="00D00D0B"/>
    <w:rPr>
      <w:rFonts w:ascii="Times New Roman" w:eastAsia="方正仿宋_GBK" w:hAnsi="Times New Roman" w:cs="宋体"/>
      <w:sz w:val="32"/>
    </w:rPr>
  </w:style>
  <w:style w:type="character" w:customStyle="1" w:styleId="Char3">
    <w:name w:val="脚注文本 Char"/>
    <w:basedOn w:val="a3"/>
    <w:link w:val="ac"/>
    <w:qFormat/>
    <w:rsid w:val="00D00D0B"/>
    <w:rPr>
      <w:rFonts w:ascii="Times New Roman" w:eastAsia="方正仿宋_GBK" w:hAnsi="Times New Roman" w:cs="宋体"/>
      <w:sz w:val="18"/>
    </w:rPr>
  </w:style>
  <w:style w:type="character" w:customStyle="1" w:styleId="HTMLChar">
    <w:name w:val="HTML 预设格式 Char"/>
    <w:basedOn w:val="a3"/>
    <w:link w:val="HTML"/>
    <w:qFormat/>
    <w:rsid w:val="00D00D0B"/>
    <w:rPr>
      <w:rFonts w:ascii="宋体" w:eastAsia="宋体" w:hAnsi="宋体" w:cs="宋体"/>
      <w:kern w:val="0"/>
      <w:sz w:val="24"/>
      <w:szCs w:val="24"/>
    </w:rPr>
  </w:style>
  <w:style w:type="paragraph" w:customStyle="1" w:styleId="af4">
    <w:name w:val="图标备注"/>
    <w:basedOn w:val="a2"/>
    <w:qFormat/>
    <w:rsid w:val="00D00D0B"/>
    <w:pPr>
      <w:spacing w:line="240" w:lineRule="auto"/>
      <w:ind w:firstLineChars="0" w:firstLine="0"/>
    </w:pPr>
    <w:rPr>
      <w:rFonts w:eastAsia="仿宋"/>
    </w:rPr>
  </w:style>
  <w:style w:type="paragraph" w:customStyle="1" w:styleId="a">
    <w:name w:val="表格标题"/>
    <w:basedOn w:val="a2"/>
    <w:qFormat/>
    <w:rsid w:val="00D00D0B"/>
    <w:pPr>
      <w:numPr>
        <w:numId w:val="2"/>
      </w:numPr>
      <w:spacing w:line="240" w:lineRule="auto"/>
      <w:ind w:firstLineChars="0"/>
      <w:jc w:val="center"/>
    </w:pPr>
    <w:rPr>
      <w:b/>
    </w:rPr>
  </w:style>
  <w:style w:type="paragraph" w:customStyle="1" w:styleId="a1">
    <w:name w:val="图标题"/>
    <w:basedOn w:val="a2"/>
    <w:qFormat/>
    <w:rsid w:val="00D00D0B"/>
    <w:pPr>
      <w:numPr>
        <w:numId w:val="3"/>
      </w:numPr>
      <w:spacing w:line="240" w:lineRule="auto"/>
      <w:ind w:firstLineChars="0" w:firstLine="0"/>
      <w:jc w:val="center"/>
    </w:pPr>
    <w:rPr>
      <w:b/>
    </w:rPr>
  </w:style>
  <w:style w:type="paragraph" w:customStyle="1" w:styleId="af5">
    <w:name w:val="表内格式"/>
    <w:basedOn w:val="a2"/>
    <w:qFormat/>
    <w:rsid w:val="00D00D0B"/>
    <w:pPr>
      <w:spacing w:line="240" w:lineRule="auto"/>
      <w:ind w:firstLineChars="0" w:firstLine="0"/>
    </w:pPr>
    <w:rPr>
      <w:sz w:val="24"/>
    </w:rPr>
  </w:style>
  <w:style w:type="paragraph" w:customStyle="1" w:styleId="af6">
    <w:name w:val="大标题"/>
    <w:basedOn w:val="a2"/>
    <w:qFormat/>
    <w:rsid w:val="00D00D0B"/>
    <w:pPr>
      <w:ind w:firstLineChars="0" w:firstLine="0"/>
      <w:jc w:val="center"/>
    </w:pPr>
    <w:rPr>
      <w:rFonts w:ascii="Calibri" w:eastAsia="方正小标宋_GBK" w:hAnsi="Calibri" w:cs="Times New Roman"/>
      <w:b/>
      <w:sz w:val="44"/>
    </w:rPr>
  </w:style>
  <w:style w:type="paragraph" w:customStyle="1" w:styleId="af7">
    <w:name w:val="图片格式"/>
    <w:basedOn w:val="a2"/>
    <w:qFormat/>
    <w:rsid w:val="00D00D0B"/>
    <w:pPr>
      <w:ind w:firstLineChars="0" w:firstLine="0"/>
      <w:jc w:val="center"/>
    </w:pPr>
    <w:rPr>
      <w:b/>
    </w:rPr>
  </w:style>
  <w:style w:type="paragraph" w:customStyle="1" w:styleId="af8">
    <w:name w:val="封面副标题"/>
    <w:basedOn w:val="a2"/>
    <w:qFormat/>
    <w:rsid w:val="00D00D0B"/>
    <w:pPr>
      <w:ind w:firstLineChars="1200" w:firstLine="5301"/>
      <w:jc w:val="left"/>
    </w:pPr>
    <w:rPr>
      <w:rFonts w:eastAsia="方正小标宋_GBK" w:cs="Times New Roman"/>
      <w:sz w:val="24"/>
    </w:rPr>
  </w:style>
  <w:style w:type="paragraph" w:styleId="af9">
    <w:name w:val="List Paragraph"/>
    <w:basedOn w:val="a2"/>
    <w:uiPriority w:val="99"/>
    <w:qFormat/>
    <w:rsid w:val="00D00D0B"/>
    <w:pPr>
      <w:ind w:firstLine="420"/>
    </w:pPr>
  </w:style>
  <w:style w:type="paragraph" w:customStyle="1" w:styleId="TOC1">
    <w:name w:val="TOC 标题1"/>
    <w:basedOn w:val="1"/>
    <w:next w:val="a2"/>
    <w:uiPriority w:val="39"/>
    <w:qFormat/>
    <w:rsid w:val="00D00D0B"/>
    <w:pPr>
      <w:tabs>
        <w:tab w:val="clear" w:pos="9897"/>
      </w:tabs>
      <w:spacing w:before="240" w:line="259" w:lineRule="auto"/>
      <w:outlineLvl w:val="9"/>
    </w:pPr>
    <w:rPr>
      <w:rFonts w:ascii="Calibri Light" w:eastAsia="宋体" w:hAnsi="Calibri Light"/>
      <w:color w:val="2E75B6"/>
      <w:kern w:val="0"/>
    </w:rPr>
  </w:style>
  <w:style w:type="character" w:customStyle="1" w:styleId="11">
    <w:name w:val="未处理的提及1"/>
    <w:basedOn w:val="a3"/>
    <w:uiPriority w:val="99"/>
    <w:qFormat/>
    <w:rsid w:val="00D00D0B"/>
    <w:rPr>
      <w:color w:val="605E5C"/>
      <w:shd w:val="clear" w:color="auto" w:fill="E1DFDD"/>
    </w:rPr>
  </w:style>
  <w:style w:type="table" w:customStyle="1" w:styleId="TableNormal0">
    <w:name w:val="Table Normal_0"/>
    <w:qFormat/>
    <w:rsid w:val="00D00D0B"/>
    <w:tblPr>
      <w:tblCellMar>
        <w:top w:w="0" w:type="dxa"/>
        <w:left w:w="0" w:type="dxa"/>
        <w:bottom w:w="0" w:type="dxa"/>
        <w:right w:w="0" w:type="dxa"/>
      </w:tblCellMar>
    </w:tblPr>
  </w:style>
  <w:style w:type="paragraph" w:customStyle="1" w:styleId="TableText">
    <w:name w:val="Table Text"/>
    <w:basedOn w:val="a2"/>
    <w:qFormat/>
    <w:rsid w:val="00D00D0B"/>
    <w:rPr>
      <w:rFonts w:ascii="宋体" w:eastAsia="宋体" w:hAnsi="宋体"/>
      <w:sz w:val="21"/>
      <w:szCs w:val="21"/>
      <w:lang w:eastAsia="en-US"/>
    </w:rPr>
  </w:style>
  <w:style w:type="paragraph" w:customStyle="1" w:styleId="Afa">
    <w:name w:val="正文 A"/>
    <w:qFormat/>
    <w:rsid w:val="00D00D0B"/>
    <w:pPr>
      <w:widowControl w:val="0"/>
      <w:jc w:val="both"/>
    </w:pPr>
    <w:rPr>
      <w:rFonts w:eastAsia="Arial Unicode MS" w:cs="Arial Unicode MS"/>
      <w:color w:val="000000"/>
      <w:kern w:val="2"/>
      <w:sz w:val="21"/>
      <w:szCs w:val="21"/>
      <w:u w:color="000000"/>
    </w:rPr>
  </w:style>
  <w:style w:type="paragraph" w:customStyle="1" w:styleId="a0">
    <w:name w:val="二级无"/>
    <w:qFormat/>
    <w:rsid w:val="00D00D0B"/>
    <w:pPr>
      <w:numPr>
        <w:ilvl w:val="2"/>
        <w:numId w:val="4"/>
      </w:numPr>
      <w:outlineLvl w:val="3"/>
    </w:pPr>
    <w:rPr>
      <w:rFonts w:ascii="宋体"/>
      <w:sz w:val="21"/>
      <w:szCs w:val="21"/>
    </w:rPr>
  </w:style>
  <w:style w:type="character" w:customStyle="1" w:styleId="font21">
    <w:name w:val="font21"/>
    <w:basedOn w:val="a3"/>
    <w:qFormat/>
    <w:rsid w:val="00D00D0B"/>
    <w:rPr>
      <w:rFonts w:ascii="方正仿宋_GBK" w:eastAsia="方正仿宋_GBK" w:hAnsi="方正仿宋_GBK" w:cs="方正仿宋_GBK" w:hint="eastAsia"/>
      <w:b/>
      <w:bCs/>
      <w:color w:val="000000"/>
      <w:sz w:val="21"/>
      <w:szCs w:val="21"/>
      <w:u w:val="none"/>
    </w:rPr>
  </w:style>
  <w:style w:type="character" w:customStyle="1" w:styleId="font51">
    <w:name w:val="font51"/>
    <w:basedOn w:val="a3"/>
    <w:qFormat/>
    <w:rsid w:val="00D00D0B"/>
    <w:rPr>
      <w:rFonts w:ascii="方正仿宋_GBK" w:eastAsia="方正仿宋_GBK" w:hAnsi="方正仿宋_GBK" w:cs="方正仿宋_GBK" w:hint="eastAsia"/>
      <w:color w:val="000000"/>
      <w:sz w:val="20"/>
      <w:szCs w:val="20"/>
      <w:u w:val="none"/>
      <w:vertAlign w:val="subscript"/>
    </w:rPr>
  </w:style>
  <w:style w:type="character" w:customStyle="1" w:styleId="font41">
    <w:name w:val="font41"/>
    <w:basedOn w:val="a3"/>
    <w:qFormat/>
    <w:rsid w:val="00D00D0B"/>
    <w:rPr>
      <w:rFonts w:ascii="方正仿宋_GBK" w:eastAsia="方正仿宋_GBK" w:hAnsi="方正仿宋_GBK" w:cs="方正仿宋_GBK" w:hint="eastAsia"/>
      <w:color w:val="000000"/>
      <w:sz w:val="20"/>
      <w:szCs w:val="20"/>
      <w:u w:val="none"/>
    </w:rPr>
  </w:style>
  <w:style w:type="character" w:customStyle="1" w:styleId="font61">
    <w:name w:val="font61"/>
    <w:basedOn w:val="a3"/>
    <w:qFormat/>
    <w:rsid w:val="00D00D0B"/>
    <w:rPr>
      <w:rFonts w:ascii="方正仿宋_GBK" w:eastAsia="方正仿宋_GBK" w:hAnsi="方正仿宋_GBK" w:cs="方正仿宋_GBK" w:hint="eastAsia"/>
      <w:color w:val="000000"/>
      <w:sz w:val="20"/>
      <w:szCs w:val="20"/>
      <w:u w:val="none"/>
    </w:rPr>
  </w:style>
  <w:style w:type="character" w:customStyle="1" w:styleId="font71">
    <w:name w:val="font71"/>
    <w:basedOn w:val="a3"/>
    <w:qFormat/>
    <w:rsid w:val="00D00D0B"/>
    <w:rPr>
      <w:rFonts w:ascii="方正仿宋_GBK" w:eastAsia="方正仿宋_GBK" w:hAnsi="方正仿宋_GBK" w:cs="方正仿宋_GBK" w:hint="eastAsia"/>
      <w:color w:val="000000"/>
      <w:sz w:val="20"/>
      <w:szCs w:val="20"/>
      <w:u w:val="none"/>
      <w:vertAlign w:val="subscript"/>
    </w:rPr>
  </w:style>
  <w:style w:type="paragraph" w:styleId="afb">
    <w:name w:val="Balloon Text"/>
    <w:basedOn w:val="a2"/>
    <w:link w:val="Char4"/>
    <w:uiPriority w:val="99"/>
    <w:semiHidden/>
    <w:unhideWhenUsed/>
    <w:rsid w:val="00DB75FB"/>
    <w:pPr>
      <w:spacing w:line="240" w:lineRule="auto"/>
    </w:pPr>
    <w:rPr>
      <w:sz w:val="18"/>
      <w:szCs w:val="18"/>
    </w:rPr>
  </w:style>
  <w:style w:type="character" w:customStyle="1" w:styleId="Char4">
    <w:name w:val="批注框文本 Char"/>
    <w:basedOn w:val="a3"/>
    <w:link w:val="afb"/>
    <w:uiPriority w:val="99"/>
    <w:semiHidden/>
    <w:rsid w:val="00DB75FB"/>
    <w:rPr>
      <w:rFonts w:eastAsia="方正仿宋_GBK" w:cs="宋体"/>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image" Target="media/image7.png"/><Relationship Id="rId3" Type="http://schemas.openxmlformats.org/officeDocument/2006/relationships/styles" Target="styles.xml"/><Relationship Id="rId21" Type="http://schemas.openxmlformats.org/officeDocument/2006/relationships/image" Target="media/image2.png"/><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4.xml"/><Relationship Id="rId25" Type="http://schemas.openxmlformats.org/officeDocument/2006/relationships/image" Target="media/image6.png"/><Relationship Id="rId33" Type="http://schemas.openxmlformats.org/officeDocument/2006/relationships/header" Target="header9.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5.png"/><Relationship Id="rId32" Type="http://schemas.openxmlformats.org/officeDocument/2006/relationships/footer" Target="footer7.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image" Target="media/image4.png"/><Relationship Id="rId28" Type="http://schemas.openxmlformats.org/officeDocument/2006/relationships/image" Target="media/image9.png"/><Relationship Id="rId10" Type="http://schemas.openxmlformats.org/officeDocument/2006/relationships/header" Target="header2.xml"/><Relationship Id="rId19" Type="http://schemas.openxmlformats.org/officeDocument/2006/relationships/header" Target="header6.xml"/><Relationship Id="rId31" Type="http://schemas.openxmlformats.org/officeDocument/2006/relationships/header" Target="header8.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3.png"/><Relationship Id="rId27" Type="http://schemas.openxmlformats.org/officeDocument/2006/relationships/image" Target="media/image8.png"/><Relationship Id="rId30" Type="http://schemas.openxmlformats.org/officeDocument/2006/relationships/header" Target="header7.xml"/><Relationship Id="rId35"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黑体"/>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宋体"/>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1557</Words>
  <Characters>8879</Characters>
  <Application>Microsoft Office Word</Application>
  <DocSecurity>0</DocSecurity>
  <Lines>73</Lines>
  <Paragraphs>20</Paragraphs>
  <ScaleCrop>false</ScaleCrop>
  <Company/>
  <LinksUpToDate>false</LinksUpToDate>
  <CharactersWithSpaces>10416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jacob stark</dc:creator>
  <cp:lastModifiedBy>Administrator</cp:lastModifiedBy>
  <cp:revision>7</cp:revision>
  <cp:lastPrinted>2024-08-11T00:37:00Z</cp:lastPrinted>
  <dcterms:created xsi:type="dcterms:W3CDTF">2024-08-08T05:23:00Z</dcterms:created>
  <dcterms:modified xsi:type="dcterms:W3CDTF">2025-08-20T07:19:00Z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5861DE48EF2E4790B7CF789E4F1A343D_13</vt:lpwstr>
  </property>
  <property fmtid="{D5CDD505-2E9C-101B-9397-08002B2CF9AE}" pid="3" name="KSOProductBuildVer">
    <vt:lpwstr>2052-7.4.0.8981</vt:lpwstr>
  </property>
  <property fmtid="{D5CDD505-2E9C-101B-9397-08002B2CF9AE}" pid="4" name="KSOTemplateDocerSaveRecord">
    <vt:lpwstr>eyJoZGlkIjoiOTlhMTBhODA2Y2VlNzc3MzRmMzcxOTFmMWI5NmIzNTIiLCJ1c2VySWQiOiIxNjI3Mzg1OTcwIn0=</vt:lpwstr>
  </property>
</Properties>
</file>