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10.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0247" w:rsidRDefault="00EE0247">
      <w:pPr>
        <w:pStyle w:val="af5"/>
        <w:adjustRightInd w:val="0"/>
        <w:snapToGrid w:val="0"/>
        <w:spacing w:line="240" w:lineRule="auto"/>
        <w:rPr>
          <w:rFonts w:ascii="Times New Roman" w:eastAsia="黑体" w:hAnsi="Times New Roman"/>
          <w:color w:val="000000" w:themeColor="text1"/>
        </w:rPr>
      </w:pPr>
    </w:p>
    <w:p w:rsidR="00EE0247" w:rsidRDefault="00EE0247">
      <w:pPr>
        <w:pStyle w:val="af5"/>
        <w:adjustRightInd w:val="0"/>
        <w:snapToGrid w:val="0"/>
        <w:spacing w:line="240" w:lineRule="auto"/>
        <w:rPr>
          <w:rFonts w:ascii="Times New Roman" w:eastAsia="黑体" w:hAnsi="Times New Roman"/>
          <w:color w:val="000000" w:themeColor="text1"/>
        </w:rPr>
      </w:pPr>
    </w:p>
    <w:p w:rsidR="00EE0247" w:rsidRDefault="00EE0247">
      <w:pPr>
        <w:pStyle w:val="af5"/>
        <w:widowControl/>
        <w:kinsoku w:val="0"/>
        <w:autoSpaceDE w:val="0"/>
        <w:autoSpaceDN w:val="0"/>
        <w:adjustRightInd w:val="0"/>
        <w:snapToGrid w:val="0"/>
        <w:spacing w:line="240" w:lineRule="auto"/>
        <w:jc w:val="both"/>
        <w:textAlignment w:val="baseline"/>
        <w:rPr>
          <w:rFonts w:ascii="Times New Roman" w:eastAsia="黑体" w:hAnsi="Times New Roman"/>
          <w:snapToGrid w:val="0"/>
          <w:color w:val="000000" w:themeColor="text1"/>
          <w:kern w:val="0"/>
          <w:sz w:val="60"/>
          <w:szCs w:val="60"/>
        </w:rPr>
      </w:pPr>
    </w:p>
    <w:p w:rsidR="00EE0247" w:rsidRDefault="007240D0">
      <w:pPr>
        <w:pStyle w:val="af5"/>
        <w:widowControl/>
        <w:kinsoku w:val="0"/>
        <w:autoSpaceDE w:val="0"/>
        <w:autoSpaceDN w:val="0"/>
        <w:adjustRightInd w:val="0"/>
        <w:snapToGrid w:val="0"/>
        <w:spacing w:line="240" w:lineRule="auto"/>
        <w:jc w:val="right"/>
        <w:textAlignment w:val="baseline"/>
        <w:rPr>
          <w:rFonts w:ascii="Times New Roman" w:eastAsia="黑体" w:hAnsi="Times New Roman"/>
          <w:snapToGrid w:val="0"/>
          <w:color w:val="000000" w:themeColor="text1"/>
          <w:kern w:val="0"/>
          <w:sz w:val="60"/>
          <w:szCs w:val="60"/>
        </w:rPr>
      </w:pPr>
      <w:r>
        <w:rPr>
          <w:rFonts w:ascii="Times New Roman" w:eastAsia="宋体" w:hAnsi="Times New Roman"/>
          <w:b w:val="0"/>
          <w:noProof/>
          <w:sz w:val="21"/>
        </w:rPr>
        <w:drawing>
          <wp:anchor distT="0" distB="0" distL="114300" distR="114300" simplePos="0" relativeHeight="251659264" behindDoc="0" locked="0" layoutInCell="1" allowOverlap="1">
            <wp:simplePos x="0" y="0"/>
            <wp:positionH relativeFrom="column">
              <wp:posOffset>-621030</wp:posOffset>
            </wp:positionH>
            <wp:positionV relativeFrom="paragraph">
              <wp:posOffset>-1729740</wp:posOffset>
            </wp:positionV>
            <wp:extent cx="7585710" cy="10729595"/>
            <wp:effectExtent l="0" t="0" r="15240" b="14605"/>
            <wp:wrapNone/>
            <wp:docPr id="3" name="图片 3" descr="句容农商 拷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句容农商 拷贝"/>
                    <pic:cNvPicPr>
                      <a:picLocks noChangeAspect="1"/>
                    </pic:cNvPicPr>
                  </pic:nvPicPr>
                  <pic:blipFill>
                    <a:blip r:embed="rId7" cstate="print"/>
                    <a:stretch>
                      <a:fillRect/>
                    </a:stretch>
                  </pic:blipFill>
                  <pic:spPr>
                    <a:xfrm>
                      <a:off x="0" y="0"/>
                      <a:ext cx="7585710" cy="10729595"/>
                    </a:xfrm>
                    <a:prstGeom prst="rect">
                      <a:avLst/>
                    </a:prstGeom>
                  </pic:spPr>
                </pic:pic>
              </a:graphicData>
            </a:graphic>
          </wp:anchor>
        </w:drawing>
      </w:r>
    </w:p>
    <w:p w:rsidR="00EE0247" w:rsidRDefault="00EE0247">
      <w:pPr>
        <w:pStyle w:val="af5"/>
        <w:widowControl/>
        <w:kinsoku w:val="0"/>
        <w:autoSpaceDE w:val="0"/>
        <w:autoSpaceDN w:val="0"/>
        <w:adjustRightInd w:val="0"/>
        <w:snapToGrid w:val="0"/>
        <w:spacing w:line="240" w:lineRule="auto"/>
        <w:textAlignment w:val="baseline"/>
        <w:rPr>
          <w:rFonts w:ascii="Times New Roman" w:eastAsia="黑体" w:hAnsi="Times New Roman"/>
          <w:b w:val="0"/>
          <w:bCs/>
          <w:snapToGrid w:val="0"/>
          <w:color w:val="000000" w:themeColor="text1"/>
          <w:kern w:val="0"/>
          <w:sz w:val="48"/>
          <w:szCs w:val="48"/>
        </w:rPr>
      </w:pPr>
    </w:p>
    <w:p w:rsidR="00EE0247" w:rsidRDefault="007240D0">
      <w:pPr>
        <w:pStyle w:val="af5"/>
        <w:widowControl/>
        <w:kinsoku w:val="0"/>
        <w:autoSpaceDE w:val="0"/>
        <w:autoSpaceDN w:val="0"/>
        <w:adjustRightInd w:val="0"/>
        <w:snapToGrid w:val="0"/>
        <w:spacing w:line="240" w:lineRule="auto"/>
        <w:textAlignment w:val="baseline"/>
        <w:rPr>
          <w:rFonts w:ascii="Times New Roman" w:eastAsia="黑体" w:hAnsi="Times New Roman"/>
          <w:b w:val="0"/>
          <w:bCs/>
          <w:snapToGrid w:val="0"/>
          <w:color w:val="000000" w:themeColor="text1"/>
          <w:kern w:val="0"/>
          <w:sz w:val="52"/>
          <w:szCs w:val="52"/>
        </w:rPr>
      </w:pPr>
      <w:r>
        <w:rPr>
          <w:rFonts w:ascii="Times New Roman" w:eastAsia="黑体" w:hAnsi="Times New Roman"/>
          <w:b w:val="0"/>
          <w:bCs/>
          <w:snapToGrid w:val="0"/>
          <w:color w:val="000000" w:themeColor="text1"/>
          <w:kern w:val="0"/>
          <w:sz w:val="48"/>
          <w:szCs w:val="48"/>
        </w:rPr>
        <w:t>江苏</w:t>
      </w:r>
      <w:r>
        <w:rPr>
          <w:rFonts w:ascii="Times New Roman" w:eastAsia="黑体" w:hAnsi="Times New Roman" w:hint="eastAsia"/>
          <w:b w:val="0"/>
          <w:bCs/>
          <w:snapToGrid w:val="0"/>
          <w:color w:val="000000" w:themeColor="text1"/>
          <w:kern w:val="0"/>
          <w:sz w:val="48"/>
          <w:szCs w:val="48"/>
        </w:rPr>
        <w:t>句容</w:t>
      </w:r>
      <w:r>
        <w:rPr>
          <w:rFonts w:ascii="Times New Roman" w:eastAsia="黑体" w:hAnsi="Times New Roman"/>
          <w:b w:val="0"/>
          <w:bCs/>
          <w:snapToGrid w:val="0"/>
          <w:color w:val="000000" w:themeColor="text1"/>
          <w:kern w:val="0"/>
          <w:sz w:val="48"/>
          <w:szCs w:val="48"/>
        </w:rPr>
        <w:t>农村商业银行股份有限公司</w:t>
      </w:r>
    </w:p>
    <w:p w:rsidR="00EE0247" w:rsidRDefault="007240D0">
      <w:pPr>
        <w:pStyle w:val="af5"/>
        <w:widowControl/>
        <w:kinsoku w:val="0"/>
        <w:autoSpaceDE w:val="0"/>
        <w:autoSpaceDN w:val="0"/>
        <w:adjustRightInd w:val="0"/>
        <w:snapToGrid w:val="0"/>
        <w:spacing w:line="240" w:lineRule="auto"/>
        <w:textAlignment w:val="baseline"/>
        <w:rPr>
          <w:rFonts w:ascii="Times New Roman" w:eastAsia="黑体" w:hAnsi="Times New Roman"/>
          <w:b w:val="0"/>
          <w:bCs/>
          <w:snapToGrid w:val="0"/>
          <w:color w:val="00B050"/>
          <w:kern w:val="0"/>
          <w:sz w:val="72"/>
          <w:szCs w:val="72"/>
        </w:rPr>
      </w:pPr>
      <w:r>
        <w:rPr>
          <w:rFonts w:ascii="Times New Roman" w:eastAsia="黑体" w:hAnsi="Times New Roman"/>
          <w:b w:val="0"/>
          <w:bCs/>
          <w:snapToGrid w:val="0"/>
          <w:color w:val="00B050"/>
          <w:kern w:val="0"/>
          <w:sz w:val="72"/>
          <w:szCs w:val="72"/>
        </w:rPr>
        <w:t>2024</w:t>
      </w:r>
      <w:r>
        <w:rPr>
          <w:rFonts w:ascii="Times New Roman" w:eastAsia="黑体" w:hAnsi="Times New Roman"/>
          <w:b w:val="0"/>
          <w:bCs/>
          <w:snapToGrid w:val="0"/>
          <w:color w:val="00B050"/>
          <w:kern w:val="0"/>
          <w:sz w:val="72"/>
          <w:szCs w:val="72"/>
        </w:rPr>
        <w:t>年度环境信息披露报告</w:t>
      </w:r>
    </w:p>
    <w:p w:rsidR="00EE0247" w:rsidRDefault="00EE0247">
      <w:pPr>
        <w:pStyle w:val="af5"/>
        <w:widowControl/>
        <w:kinsoku w:val="0"/>
        <w:autoSpaceDE w:val="0"/>
        <w:autoSpaceDN w:val="0"/>
        <w:adjustRightInd w:val="0"/>
        <w:snapToGrid w:val="0"/>
        <w:spacing w:line="240" w:lineRule="auto"/>
        <w:textAlignment w:val="baseline"/>
        <w:rPr>
          <w:rFonts w:ascii="Times New Roman" w:eastAsia="黑体" w:hAnsi="Times New Roman"/>
          <w:b w:val="0"/>
          <w:bCs/>
          <w:snapToGrid w:val="0"/>
          <w:color w:val="000000" w:themeColor="text1"/>
          <w:kern w:val="0"/>
          <w:sz w:val="52"/>
          <w:szCs w:val="52"/>
        </w:rPr>
      </w:pPr>
    </w:p>
    <w:p w:rsidR="00EE0247" w:rsidRDefault="00EE0247">
      <w:pPr>
        <w:pStyle w:val="af5"/>
        <w:widowControl/>
        <w:kinsoku w:val="0"/>
        <w:autoSpaceDE w:val="0"/>
        <w:autoSpaceDN w:val="0"/>
        <w:adjustRightInd w:val="0"/>
        <w:snapToGrid w:val="0"/>
        <w:spacing w:line="240" w:lineRule="auto"/>
        <w:textAlignment w:val="baseline"/>
        <w:rPr>
          <w:rFonts w:ascii="Times New Roman" w:eastAsia="黑体" w:hAnsi="Times New Roman"/>
          <w:b w:val="0"/>
          <w:bCs/>
          <w:snapToGrid w:val="0"/>
          <w:color w:val="000000" w:themeColor="text1"/>
          <w:kern w:val="0"/>
          <w:sz w:val="52"/>
          <w:szCs w:val="52"/>
        </w:rPr>
      </w:pPr>
    </w:p>
    <w:p w:rsidR="00EE0247" w:rsidRDefault="00EE0247">
      <w:pPr>
        <w:pStyle w:val="af5"/>
        <w:adjustRightInd w:val="0"/>
        <w:snapToGrid w:val="0"/>
        <w:spacing w:line="240" w:lineRule="auto"/>
        <w:rPr>
          <w:rFonts w:ascii="Times New Roman" w:eastAsia="黑体" w:hAnsi="Times New Roman"/>
          <w:b w:val="0"/>
          <w:bCs/>
          <w:color w:val="000000" w:themeColor="text1"/>
        </w:rPr>
      </w:pPr>
    </w:p>
    <w:p w:rsidR="00EE0247" w:rsidRDefault="00EE0247">
      <w:pPr>
        <w:pStyle w:val="af5"/>
        <w:adjustRightInd w:val="0"/>
        <w:snapToGrid w:val="0"/>
        <w:spacing w:line="240" w:lineRule="auto"/>
        <w:rPr>
          <w:rFonts w:ascii="Times New Roman" w:eastAsia="黑体" w:hAnsi="Times New Roman"/>
          <w:b w:val="0"/>
          <w:bCs/>
          <w:color w:val="000000" w:themeColor="text1"/>
        </w:rPr>
      </w:pPr>
    </w:p>
    <w:p w:rsidR="00EE0247" w:rsidRDefault="00EE0247">
      <w:pPr>
        <w:pStyle w:val="af5"/>
        <w:adjustRightInd w:val="0"/>
        <w:snapToGrid w:val="0"/>
        <w:spacing w:line="240" w:lineRule="auto"/>
        <w:jc w:val="both"/>
        <w:rPr>
          <w:rFonts w:ascii="Times New Roman" w:eastAsia="黑体" w:hAnsi="Times New Roman"/>
          <w:b w:val="0"/>
          <w:bCs/>
          <w:color w:val="000000" w:themeColor="text1"/>
        </w:rPr>
      </w:pPr>
    </w:p>
    <w:p w:rsidR="00EE0247" w:rsidRDefault="00EE0247">
      <w:pPr>
        <w:pStyle w:val="af5"/>
        <w:adjustRightInd w:val="0"/>
        <w:snapToGrid w:val="0"/>
        <w:spacing w:line="240" w:lineRule="auto"/>
        <w:jc w:val="both"/>
        <w:rPr>
          <w:rFonts w:ascii="Times New Roman" w:eastAsia="黑体" w:hAnsi="Times New Roman"/>
          <w:b w:val="0"/>
          <w:bCs/>
          <w:color w:val="000000" w:themeColor="text1"/>
        </w:rPr>
      </w:pPr>
    </w:p>
    <w:p w:rsidR="00EE0247" w:rsidRDefault="00EE0247">
      <w:pPr>
        <w:pStyle w:val="af5"/>
        <w:adjustRightInd w:val="0"/>
        <w:snapToGrid w:val="0"/>
        <w:spacing w:line="240" w:lineRule="auto"/>
        <w:jc w:val="both"/>
        <w:rPr>
          <w:rFonts w:ascii="Times New Roman" w:eastAsia="黑体" w:hAnsi="Times New Roman"/>
          <w:b w:val="0"/>
          <w:bCs/>
          <w:color w:val="000000" w:themeColor="text1"/>
        </w:rPr>
      </w:pPr>
    </w:p>
    <w:p w:rsidR="00EE0247" w:rsidRDefault="00EE0247">
      <w:pPr>
        <w:pStyle w:val="af5"/>
        <w:adjustRightInd w:val="0"/>
        <w:snapToGrid w:val="0"/>
        <w:spacing w:line="240" w:lineRule="auto"/>
        <w:jc w:val="both"/>
        <w:rPr>
          <w:rFonts w:ascii="Times New Roman" w:eastAsia="黑体" w:hAnsi="Times New Roman"/>
          <w:b w:val="0"/>
          <w:bCs/>
          <w:color w:val="000000" w:themeColor="text1"/>
        </w:rPr>
      </w:pPr>
    </w:p>
    <w:p w:rsidR="00EE0247" w:rsidRDefault="00EE0247">
      <w:pPr>
        <w:pStyle w:val="af5"/>
        <w:adjustRightInd w:val="0"/>
        <w:snapToGrid w:val="0"/>
        <w:spacing w:line="240" w:lineRule="auto"/>
        <w:jc w:val="both"/>
        <w:rPr>
          <w:rFonts w:ascii="Times New Roman" w:eastAsia="黑体" w:hAnsi="Times New Roman"/>
          <w:b w:val="0"/>
          <w:bCs/>
          <w:color w:val="000000" w:themeColor="text1"/>
        </w:rPr>
      </w:pPr>
    </w:p>
    <w:p w:rsidR="00EE0247" w:rsidRDefault="00EE0247">
      <w:pPr>
        <w:pStyle w:val="af5"/>
        <w:adjustRightInd w:val="0"/>
        <w:snapToGrid w:val="0"/>
        <w:spacing w:line="240" w:lineRule="auto"/>
        <w:jc w:val="both"/>
        <w:rPr>
          <w:rFonts w:ascii="Times New Roman" w:eastAsia="黑体" w:hAnsi="Times New Roman"/>
          <w:b w:val="0"/>
          <w:bCs/>
          <w:color w:val="000000" w:themeColor="text1"/>
        </w:rPr>
      </w:pPr>
    </w:p>
    <w:p w:rsidR="00EE0247" w:rsidRDefault="00EE0247">
      <w:pPr>
        <w:pStyle w:val="af5"/>
        <w:adjustRightInd w:val="0"/>
        <w:snapToGrid w:val="0"/>
        <w:spacing w:line="240" w:lineRule="auto"/>
        <w:jc w:val="both"/>
        <w:rPr>
          <w:rFonts w:ascii="Times New Roman" w:eastAsia="黑体" w:hAnsi="Times New Roman"/>
          <w:b w:val="0"/>
          <w:bCs/>
          <w:color w:val="000000" w:themeColor="text1"/>
        </w:rPr>
      </w:pPr>
    </w:p>
    <w:p w:rsidR="00EE0247" w:rsidRDefault="00EE0247">
      <w:pPr>
        <w:pStyle w:val="af5"/>
        <w:adjustRightInd w:val="0"/>
        <w:snapToGrid w:val="0"/>
        <w:spacing w:line="240" w:lineRule="auto"/>
        <w:jc w:val="both"/>
        <w:rPr>
          <w:rFonts w:ascii="Times New Roman" w:eastAsia="黑体" w:hAnsi="Times New Roman"/>
          <w:b w:val="0"/>
          <w:bCs/>
          <w:color w:val="000000" w:themeColor="text1"/>
        </w:rPr>
      </w:pPr>
    </w:p>
    <w:p w:rsidR="00EE0247" w:rsidRDefault="007240D0">
      <w:pPr>
        <w:pStyle w:val="af7"/>
        <w:adjustRightInd w:val="0"/>
        <w:snapToGrid w:val="0"/>
        <w:spacing w:line="240" w:lineRule="auto"/>
        <w:ind w:firstLineChars="0" w:firstLine="0"/>
        <w:jc w:val="center"/>
        <w:rPr>
          <w:rFonts w:eastAsia="黑体"/>
          <w:bCs/>
          <w:color w:val="000000" w:themeColor="text1"/>
          <w:sz w:val="32"/>
          <w:szCs w:val="32"/>
        </w:rPr>
      </w:pPr>
      <w:r>
        <w:rPr>
          <w:rFonts w:eastAsia="黑体"/>
          <w:bCs/>
          <w:color w:val="000000" w:themeColor="text1"/>
          <w:sz w:val="32"/>
          <w:szCs w:val="32"/>
        </w:rPr>
        <w:t>报告主体：江苏</w:t>
      </w:r>
      <w:r>
        <w:rPr>
          <w:rFonts w:eastAsia="黑体" w:hint="eastAsia"/>
          <w:bCs/>
          <w:color w:val="000000" w:themeColor="text1"/>
          <w:sz w:val="32"/>
          <w:szCs w:val="32"/>
        </w:rPr>
        <w:t>句容</w:t>
      </w:r>
      <w:r>
        <w:rPr>
          <w:rFonts w:eastAsia="黑体"/>
          <w:bCs/>
          <w:color w:val="000000" w:themeColor="text1"/>
          <w:sz w:val="32"/>
          <w:szCs w:val="32"/>
        </w:rPr>
        <w:t>农村商业银行股份有限公司</w:t>
      </w:r>
    </w:p>
    <w:p w:rsidR="00EE0247" w:rsidRDefault="007240D0">
      <w:pPr>
        <w:pStyle w:val="af7"/>
        <w:adjustRightInd w:val="0"/>
        <w:snapToGrid w:val="0"/>
        <w:spacing w:line="240" w:lineRule="auto"/>
        <w:ind w:firstLineChars="0" w:firstLine="0"/>
        <w:jc w:val="center"/>
        <w:rPr>
          <w:rFonts w:eastAsia="黑体"/>
          <w:bCs/>
          <w:color w:val="000000" w:themeColor="text1"/>
          <w:sz w:val="32"/>
          <w:szCs w:val="32"/>
        </w:rPr>
        <w:sectPr w:rsidR="00EE0247">
          <w:headerReference w:type="even" r:id="rId8"/>
          <w:headerReference w:type="default" r:id="rId9"/>
          <w:footerReference w:type="even" r:id="rId10"/>
          <w:footerReference w:type="default" r:id="rId11"/>
          <w:headerReference w:type="first" r:id="rId12"/>
          <w:footerReference w:type="first" r:id="rId13"/>
          <w:pgSz w:w="11906" w:h="16838"/>
          <w:pgMar w:top="998" w:right="998" w:bottom="1451" w:left="998" w:header="0" w:footer="992" w:gutter="0"/>
          <w:cols w:space="425"/>
          <w:titlePg/>
          <w:docGrid w:type="lines" w:linePitch="435"/>
        </w:sectPr>
      </w:pPr>
      <w:r>
        <w:rPr>
          <w:rFonts w:eastAsia="黑体"/>
          <w:bCs/>
          <w:color w:val="000000" w:themeColor="text1"/>
          <w:sz w:val="32"/>
          <w:szCs w:val="32"/>
        </w:rPr>
        <w:t>编制日期：</w:t>
      </w:r>
      <w:r>
        <w:rPr>
          <w:rFonts w:eastAsia="黑体"/>
          <w:bCs/>
          <w:color w:val="000000" w:themeColor="text1"/>
          <w:sz w:val="32"/>
          <w:szCs w:val="32"/>
        </w:rPr>
        <w:t>2025</w:t>
      </w:r>
      <w:r>
        <w:rPr>
          <w:rFonts w:eastAsia="黑体"/>
          <w:bCs/>
          <w:color w:val="000000" w:themeColor="text1"/>
          <w:sz w:val="32"/>
          <w:szCs w:val="32"/>
        </w:rPr>
        <w:t>年</w:t>
      </w:r>
      <w:r>
        <w:rPr>
          <w:rFonts w:eastAsia="黑体"/>
          <w:bCs/>
          <w:color w:val="000000" w:themeColor="text1"/>
          <w:sz w:val="32"/>
          <w:szCs w:val="32"/>
        </w:rPr>
        <w:t>6</w:t>
      </w:r>
      <w:r>
        <w:rPr>
          <w:rFonts w:eastAsia="黑体"/>
          <w:bCs/>
          <w:color w:val="000000" w:themeColor="text1"/>
          <w:sz w:val="32"/>
          <w:szCs w:val="32"/>
        </w:rPr>
        <w:t>月</w:t>
      </w:r>
      <w:r>
        <w:rPr>
          <w:rFonts w:eastAsia="黑体" w:hint="eastAsia"/>
          <w:bCs/>
          <w:color w:val="000000" w:themeColor="text1"/>
          <w:sz w:val="32"/>
          <w:szCs w:val="32"/>
        </w:rPr>
        <w:t>18</w:t>
      </w:r>
      <w:r>
        <w:rPr>
          <w:rFonts w:eastAsia="黑体"/>
          <w:bCs/>
          <w:color w:val="000000" w:themeColor="text1"/>
          <w:sz w:val="32"/>
          <w:szCs w:val="32"/>
        </w:rPr>
        <w:t>日</w:t>
      </w:r>
    </w:p>
    <w:sdt>
      <w:sdtPr>
        <w:rPr>
          <w:rFonts w:ascii="宋体" w:eastAsia="宋体" w:hAnsi="宋体" w:cs="Times New Roman" w:hint="eastAsia"/>
          <w:b/>
          <w:bCs/>
          <w:kern w:val="0"/>
          <w:sz w:val="21"/>
          <w:szCs w:val="36"/>
        </w:rPr>
        <w:id w:val="147472257"/>
        <w:docPartObj>
          <w:docPartGallery w:val="Table of Contents"/>
          <w:docPartUnique/>
        </w:docPartObj>
      </w:sdtPr>
      <w:sdtEndPr>
        <w:rPr>
          <w:rFonts w:eastAsia="黑体"/>
          <w:color w:val="000000" w:themeColor="text1"/>
          <w:sz w:val="28"/>
          <w:lang w:val="zh-CN"/>
        </w:rPr>
      </w:sdtEndPr>
      <w:sdtContent>
        <w:p w:rsidR="00EE0247" w:rsidRDefault="007240D0">
          <w:pPr>
            <w:spacing w:line="240" w:lineRule="auto"/>
            <w:ind w:firstLineChars="0" w:firstLine="0"/>
            <w:jc w:val="center"/>
            <w:rPr>
              <w:rFonts w:cs="Times New Roman"/>
            </w:rPr>
          </w:pPr>
          <w:r>
            <w:rPr>
              <w:rFonts w:eastAsia="宋体" w:cs="Times New Roman"/>
              <w:sz w:val="21"/>
            </w:rPr>
            <w:t>目录</w:t>
          </w:r>
        </w:p>
        <w:p w:rsidR="00C3082E" w:rsidRDefault="006E5BF4">
          <w:pPr>
            <w:pStyle w:val="10"/>
            <w:tabs>
              <w:tab w:val="right" w:leader="dot" w:pos="8296"/>
            </w:tabs>
            <w:rPr>
              <w:rFonts w:asciiTheme="minorHAnsi" w:eastAsiaTheme="minorEastAsia" w:hAnsiTheme="minorHAnsi" w:cstheme="minorBidi"/>
              <w:noProof/>
              <w:kern w:val="2"/>
              <w:sz w:val="21"/>
            </w:rPr>
          </w:pPr>
          <w:r w:rsidRPr="006E5BF4">
            <w:rPr>
              <w:rFonts w:ascii="Times New Roman" w:eastAsia="黑体" w:hAnsi="Times New Roman"/>
              <w:bCs/>
              <w:color w:val="000000" w:themeColor="text1"/>
              <w:kern w:val="2"/>
              <w:lang w:val="zh-CN"/>
            </w:rPr>
            <w:fldChar w:fldCharType="begin"/>
          </w:r>
          <w:r w:rsidR="007240D0">
            <w:rPr>
              <w:rFonts w:ascii="Times New Roman" w:eastAsia="黑体" w:hAnsi="Times New Roman"/>
              <w:bCs/>
              <w:color w:val="000000" w:themeColor="text1"/>
              <w:kern w:val="2"/>
              <w:lang w:val="zh-CN"/>
            </w:rPr>
            <w:instrText xml:space="preserve">TOC \o "1-2" \h \u </w:instrText>
          </w:r>
          <w:r w:rsidRPr="006E5BF4">
            <w:rPr>
              <w:rFonts w:ascii="Times New Roman" w:eastAsia="黑体" w:hAnsi="Times New Roman"/>
              <w:bCs/>
              <w:color w:val="000000" w:themeColor="text1"/>
              <w:kern w:val="2"/>
              <w:lang w:val="zh-CN"/>
            </w:rPr>
            <w:fldChar w:fldCharType="separate"/>
          </w:r>
          <w:hyperlink w:anchor="_Toc206595302" w:history="1">
            <w:r w:rsidR="00C3082E" w:rsidRPr="003D74FD">
              <w:rPr>
                <w:rStyle w:val="af2"/>
                <w:rFonts w:hint="eastAsia"/>
                <w:noProof/>
              </w:rPr>
              <w:t>第一章</w:t>
            </w:r>
            <w:r w:rsidR="00C3082E" w:rsidRPr="003D74FD">
              <w:rPr>
                <w:rStyle w:val="af2"/>
                <w:noProof/>
              </w:rPr>
              <w:t xml:space="preserve"> </w:t>
            </w:r>
            <w:r w:rsidR="00C3082E" w:rsidRPr="003D74FD">
              <w:rPr>
                <w:rStyle w:val="af2"/>
                <w:rFonts w:hint="eastAsia"/>
                <w:noProof/>
              </w:rPr>
              <w:t>披露主体</w:t>
            </w:r>
            <w:r w:rsidR="00C3082E">
              <w:rPr>
                <w:noProof/>
              </w:rPr>
              <w:tab/>
            </w:r>
            <w:r>
              <w:rPr>
                <w:noProof/>
              </w:rPr>
              <w:fldChar w:fldCharType="begin"/>
            </w:r>
            <w:r w:rsidR="00C3082E">
              <w:rPr>
                <w:noProof/>
              </w:rPr>
              <w:instrText xml:space="preserve"> PAGEREF _Toc206595302 \h </w:instrText>
            </w:r>
            <w:r>
              <w:rPr>
                <w:noProof/>
              </w:rPr>
            </w:r>
            <w:r>
              <w:rPr>
                <w:noProof/>
              </w:rPr>
              <w:fldChar w:fldCharType="separate"/>
            </w:r>
            <w:r w:rsidR="00C3082E">
              <w:rPr>
                <w:noProof/>
              </w:rPr>
              <w:t>1</w:t>
            </w:r>
            <w:r>
              <w:rPr>
                <w:noProof/>
              </w:rPr>
              <w:fldChar w:fldCharType="end"/>
            </w:r>
          </w:hyperlink>
        </w:p>
        <w:p w:rsidR="00C3082E" w:rsidRDefault="006E5BF4">
          <w:pPr>
            <w:pStyle w:val="20"/>
            <w:tabs>
              <w:tab w:val="right" w:leader="dot" w:pos="8296"/>
            </w:tabs>
            <w:rPr>
              <w:rFonts w:asciiTheme="minorHAnsi" w:eastAsiaTheme="minorEastAsia" w:hAnsiTheme="minorHAnsi" w:cstheme="minorBidi"/>
              <w:noProof/>
              <w:kern w:val="2"/>
              <w:sz w:val="21"/>
            </w:rPr>
          </w:pPr>
          <w:hyperlink w:anchor="_Toc206595303" w:history="1">
            <w:r w:rsidR="00C3082E" w:rsidRPr="003D74FD">
              <w:rPr>
                <w:rStyle w:val="af2"/>
                <w:rFonts w:ascii="Times New Roman" w:hAnsi="Times New Roman"/>
                <w:noProof/>
              </w:rPr>
              <w:t xml:space="preserve">1.1 </w:t>
            </w:r>
            <w:r w:rsidR="00C3082E" w:rsidRPr="003D74FD">
              <w:rPr>
                <w:rStyle w:val="af2"/>
                <w:rFonts w:ascii="Times New Roman" w:hAnsi="Times New Roman" w:hint="eastAsia"/>
                <w:noProof/>
              </w:rPr>
              <w:t>编制说明</w:t>
            </w:r>
            <w:r w:rsidR="00C3082E">
              <w:rPr>
                <w:noProof/>
              </w:rPr>
              <w:tab/>
            </w:r>
            <w:r>
              <w:rPr>
                <w:noProof/>
              </w:rPr>
              <w:fldChar w:fldCharType="begin"/>
            </w:r>
            <w:r w:rsidR="00C3082E">
              <w:rPr>
                <w:noProof/>
              </w:rPr>
              <w:instrText xml:space="preserve"> PAGEREF _Toc206595303 \h </w:instrText>
            </w:r>
            <w:r>
              <w:rPr>
                <w:noProof/>
              </w:rPr>
            </w:r>
            <w:r>
              <w:rPr>
                <w:noProof/>
              </w:rPr>
              <w:fldChar w:fldCharType="separate"/>
            </w:r>
            <w:r w:rsidR="00C3082E">
              <w:rPr>
                <w:noProof/>
              </w:rPr>
              <w:t>1</w:t>
            </w:r>
            <w:r>
              <w:rPr>
                <w:noProof/>
              </w:rPr>
              <w:fldChar w:fldCharType="end"/>
            </w:r>
          </w:hyperlink>
        </w:p>
        <w:p w:rsidR="00C3082E" w:rsidRDefault="006E5BF4">
          <w:pPr>
            <w:pStyle w:val="20"/>
            <w:tabs>
              <w:tab w:val="right" w:leader="dot" w:pos="8296"/>
            </w:tabs>
            <w:rPr>
              <w:rFonts w:asciiTheme="minorHAnsi" w:eastAsiaTheme="minorEastAsia" w:hAnsiTheme="minorHAnsi" w:cstheme="minorBidi"/>
              <w:noProof/>
              <w:kern w:val="2"/>
              <w:sz w:val="21"/>
            </w:rPr>
          </w:pPr>
          <w:hyperlink w:anchor="_Toc206595304" w:history="1">
            <w:r w:rsidR="00C3082E" w:rsidRPr="003D74FD">
              <w:rPr>
                <w:rStyle w:val="af2"/>
                <w:rFonts w:ascii="Times New Roman" w:hAnsi="Times New Roman"/>
                <w:noProof/>
              </w:rPr>
              <w:t xml:space="preserve">1.2 </w:t>
            </w:r>
            <w:r w:rsidR="00C3082E" w:rsidRPr="003D74FD">
              <w:rPr>
                <w:rStyle w:val="af2"/>
                <w:rFonts w:ascii="Times New Roman" w:hAnsi="Times New Roman" w:hint="eastAsia"/>
                <w:noProof/>
              </w:rPr>
              <w:t>基本信息</w:t>
            </w:r>
            <w:r w:rsidR="00C3082E">
              <w:rPr>
                <w:noProof/>
              </w:rPr>
              <w:tab/>
            </w:r>
            <w:r>
              <w:rPr>
                <w:noProof/>
              </w:rPr>
              <w:fldChar w:fldCharType="begin"/>
            </w:r>
            <w:r w:rsidR="00C3082E">
              <w:rPr>
                <w:noProof/>
              </w:rPr>
              <w:instrText xml:space="preserve"> PAGEREF _Toc206595304 \h </w:instrText>
            </w:r>
            <w:r>
              <w:rPr>
                <w:noProof/>
              </w:rPr>
            </w:r>
            <w:r>
              <w:rPr>
                <w:noProof/>
              </w:rPr>
              <w:fldChar w:fldCharType="separate"/>
            </w:r>
            <w:r w:rsidR="00C3082E">
              <w:rPr>
                <w:noProof/>
              </w:rPr>
              <w:t>1</w:t>
            </w:r>
            <w:r>
              <w:rPr>
                <w:noProof/>
              </w:rPr>
              <w:fldChar w:fldCharType="end"/>
            </w:r>
          </w:hyperlink>
        </w:p>
        <w:p w:rsidR="00C3082E" w:rsidRDefault="006E5BF4">
          <w:pPr>
            <w:pStyle w:val="10"/>
            <w:tabs>
              <w:tab w:val="right" w:leader="dot" w:pos="8296"/>
            </w:tabs>
            <w:rPr>
              <w:rFonts w:asciiTheme="minorHAnsi" w:eastAsiaTheme="minorEastAsia" w:hAnsiTheme="minorHAnsi" w:cstheme="minorBidi"/>
              <w:noProof/>
              <w:kern w:val="2"/>
              <w:sz w:val="21"/>
            </w:rPr>
          </w:pPr>
          <w:hyperlink w:anchor="_Toc206595305" w:history="1">
            <w:r w:rsidR="00C3082E" w:rsidRPr="003D74FD">
              <w:rPr>
                <w:rStyle w:val="af2"/>
                <w:rFonts w:hint="eastAsia"/>
                <w:noProof/>
              </w:rPr>
              <w:t>第二章</w:t>
            </w:r>
            <w:r w:rsidR="00C3082E" w:rsidRPr="003D74FD">
              <w:rPr>
                <w:rStyle w:val="af2"/>
                <w:noProof/>
              </w:rPr>
              <w:t xml:space="preserve"> </w:t>
            </w:r>
            <w:r w:rsidR="00C3082E" w:rsidRPr="003D74FD">
              <w:rPr>
                <w:rStyle w:val="af2"/>
                <w:rFonts w:hint="eastAsia"/>
                <w:noProof/>
              </w:rPr>
              <w:t>年度概况</w:t>
            </w:r>
            <w:r w:rsidR="00C3082E">
              <w:rPr>
                <w:noProof/>
              </w:rPr>
              <w:tab/>
            </w:r>
            <w:r>
              <w:rPr>
                <w:noProof/>
              </w:rPr>
              <w:fldChar w:fldCharType="begin"/>
            </w:r>
            <w:r w:rsidR="00C3082E">
              <w:rPr>
                <w:noProof/>
              </w:rPr>
              <w:instrText xml:space="preserve"> PAGEREF _Toc206595305 \h </w:instrText>
            </w:r>
            <w:r>
              <w:rPr>
                <w:noProof/>
              </w:rPr>
            </w:r>
            <w:r>
              <w:rPr>
                <w:noProof/>
              </w:rPr>
              <w:fldChar w:fldCharType="separate"/>
            </w:r>
            <w:r w:rsidR="00C3082E">
              <w:rPr>
                <w:noProof/>
              </w:rPr>
              <w:t>3</w:t>
            </w:r>
            <w:r>
              <w:rPr>
                <w:noProof/>
              </w:rPr>
              <w:fldChar w:fldCharType="end"/>
            </w:r>
          </w:hyperlink>
        </w:p>
        <w:p w:rsidR="00C3082E" w:rsidRDefault="006E5BF4">
          <w:pPr>
            <w:pStyle w:val="20"/>
            <w:tabs>
              <w:tab w:val="right" w:leader="dot" w:pos="8296"/>
            </w:tabs>
            <w:rPr>
              <w:rFonts w:asciiTheme="minorHAnsi" w:eastAsiaTheme="minorEastAsia" w:hAnsiTheme="minorHAnsi" w:cstheme="minorBidi"/>
              <w:noProof/>
              <w:kern w:val="2"/>
              <w:sz w:val="21"/>
            </w:rPr>
          </w:pPr>
          <w:hyperlink w:anchor="_Toc206595306" w:history="1">
            <w:r w:rsidR="00C3082E" w:rsidRPr="003D74FD">
              <w:rPr>
                <w:rStyle w:val="af2"/>
                <w:rFonts w:ascii="Times New Roman" w:hAnsi="Times New Roman"/>
                <w:noProof/>
              </w:rPr>
              <w:t xml:space="preserve">2.1 </w:t>
            </w:r>
            <w:r w:rsidR="00C3082E" w:rsidRPr="003D74FD">
              <w:rPr>
                <w:rStyle w:val="af2"/>
                <w:rFonts w:ascii="Times New Roman" w:hAnsi="Times New Roman" w:hint="eastAsia"/>
                <w:noProof/>
              </w:rPr>
              <w:t>目标愿景</w:t>
            </w:r>
            <w:r w:rsidR="00C3082E">
              <w:rPr>
                <w:noProof/>
              </w:rPr>
              <w:tab/>
            </w:r>
            <w:r>
              <w:rPr>
                <w:noProof/>
              </w:rPr>
              <w:fldChar w:fldCharType="begin"/>
            </w:r>
            <w:r w:rsidR="00C3082E">
              <w:rPr>
                <w:noProof/>
              </w:rPr>
              <w:instrText xml:space="preserve"> PAGEREF _Toc206595306 \h </w:instrText>
            </w:r>
            <w:r>
              <w:rPr>
                <w:noProof/>
              </w:rPr>
            </w:r>
            <w:r>
              <w:rPr>
                <w:noProof/>
              </w:rPr>
              <w:fldChar w:fldCharType="separate"/>
            </w:r>
            <w:r w:rsidR="00C3082E">
              <w:rPr>
                <w:noProof/>
              </w:rPr>
              <w:t>3</w:t>
            </w:r>
            <w:r>
              <w:rPr>
                <w:noProof/>
              </w:rPr>
              <w:fldChar w:fldCharType="end"/>
            </w:r>
          </w:hyperlink>
        </w:p>
        <w:p w:rsidR="00C3082E" w:rsidRDefault="006E5BF4">
          <w:pPr>
            <w:pStyle w:val="20"/>
            <w:tabs>
              <w:tab w:val="right" w:leader="dot" w:pos="8296"/>
            </w:tabs>
            <w:rPr>
              <w:rFonts w:asciiTheme="minorHAnsi" w:eastAsiaTheme="minorEastAsia" w:hAnsiTheme="minorHAnsi" w:cstheme="minorBidi"/>
              <w:noProof/>
              <w:kern w:val="2"/>
              <w:sz w:val="21"/>
            </w:rPr>
          </w:pPr>
          <w:hyperlink w:anchor="_Toc206595307" w:history="1">
            <w:r w:rsidR="00C3082E" w:rsidRPr="003D74FD">
              <w:rPr>
                <w:rStyle w:val="af2"/>
                <w:rFonts w:ascii="Times New Roman" w:hAnsi="Times New Roman"/>
                <w:noProof/>
              </w:rPr>
              <w:t xml:space="preserve">2.2 </w:t>
            </w:r>
            <w:r w:rsidR="00C3082E" w:rsidRPr="003D74FD">
              <w:rPr>
                <w:rStyle w:val="af2"/>
                <w:rFonts w:ascii="Times New Roman" w:hAnsi="Times New Roman" w:hint="eastAsia"/>
                <w:noProof/>
              </w:rPr>
              <w:t>战略规划</w:t>
            </w:r>
            <w:r w:rsidR="00C3082E">
              <w:rPr>
                <w:noProof/>
              </w:rPr>
              <w:tab/>
            </w:r>
            <w:r>
              <w:rPr>
                <w:noProof/>
              </w:rPr>
              <w:fldChar w:fldCharType="begin"/>
            </w:r>
            <w:r w:rsidR="00C3082E">
              <w:rPr>
                <w:noProof/>
              </w:rPr>
              <w:instrText xml:space="preserve"> PAGEREF _Toc206595307 \h </w:instrText>
            </w:r>
            <w:r>
              <w:rPr>
                <w:noProof/>
              </w:rPr>
            </w:r>
            <w:r>
              <w:rPr>
                <w:noProof/>
              </w:rPr>
              <w:fldChar w:fldCharType="separate"/>
            </w:r>
            <w:r w:rsidR="00C3082E">
              <w:rPr>
                <w:noProof/>
              </w:rPr>
              <w:t>3</w:t>
            </w:r>
            <w:r>
              <w:rPr>
                <w:noProof/>
              </w:rPr>
              <w:fldChar w:fldCharType="end"/>
            </w:r>
          </w:hyperlink>
        </w:p>
        <w:p w:rsidR="00C3082E" w:rsidRDefault="006E5BF4">
          <w:pPr>
            <w:pStyle w:val="20"/>
            <w:tabs>
              <w:tab w:val="right" w:leader="dot" w:pos="8296"/>
            </w:tabs>
            <w:rPr>
              <w:rFonts w:asciiTheme="minorHAnsi" w:eastAsiaTheme="minorEastAsia" w:hAnsiTheme="minorHAnsi" w:cstheme="minorBidi"/>
              <w:noProof/>
              <w:kern w:val="2"/>
              <w:sz w:val="21"/>
            </w:rPr>
          </w:pPr>
          <w:hyperlink w:anchor="_Toc206595308" w:history="1">
            <w:r w:rsidR="00C3082E" w:rsidRPr="003D74FD">
              <w:rPr>
                <w:rStyle w:val="af2"/>
                <w:rFonts w:ascii="Times New Roman" w:hAnsi="Times New Roman"/>
                <w:noProof/>
              </w:rPr>
              <w:t xml:space="preserve">2.3 </w:t>
            </w:r>
            <w:r w:rsidR="00C3082E" w:rsidRPr="003D74FD">
              <w:rPr>
                <w:rStyle w:val="af2"/>
                <w:rFonts w:ascii="Times New Roman" w:hAnsi="Times New Roman" w:hint="eastAsia"/>
                <w:noProof/>
              </w:rPr>
              <w:t>政策内容</w:t>
            </w:r>
            <w:r w:rsidR="00C3082E">
              <w:rPr>
                <w:noProof/>
              </w:rPr>
              <w:tab/>
            </w:r>
            <w:r>
              <w:rPr>
                <w:noProof/>
              </w:rPr>
              <w:fldChar w:fldCharType="begin"/>
            </w:r>
            <w:r w:rsidR="00C3082E">
              <w:rPr>
                <w:noProof/>
              </w:rPr>
              <w:instrText xml:space="preserve"> PAGEREF _Toc206595308 \h </w:instrText>
            </w:r>
            <w:r>
              <w:rPr>
                <w:noProof/>
              </w:rPr>
            </w:r>
            <w:r>
              <w:rPr>
                <w:noProof/>
              </w:rPr>
              <w:fldChar w:fldCharType="separate"/>
            </w:r>
            <w:r w:rsidR="00C3082E">
              <w:rPr>
                <w:noProof/>
              </w:rPr>
              <w:t>3</w:t>
            </w:r>
            <w:r>
              <w:rPr>
                <w:noProof/>
              </w:rPr>
              <w:fldChar w:fldCharType="end"/>
            </w:r>
          </w:hyperlink>
        </w:p>
        <w:p w:rsidR="00C3082E" w:rsidRDefault="006E5BF4">
          <w:pPr>
            <w:pStyle w:val="20"/>
            <w:tabs>
              <w:tab w:val="right" w:leader="dot" w:pos="8296"/>
            </w:tabs>
            <w:rPr>
              <w:rFonts w:asciiTheme="minorHAnsi" w:eastAsiaTheme="minorEastAsia" w:hAnsiTheme="minorHAnsi" w:cstheme="minorBidi"/>
              <w:noProof/>
              <w:kern w:val="2"/>
              <w:sz w:val="21"/>
            </w:rPr>
          </w:pPr>
          <w:hyperlink w:anchor="_Toc206595309" w:history="1">
            <w:r w:rsidR="00C3082E" w:rsidRPr="003D74FD">
              <w:rPr>
                <w:rStyle w:val="af2"/>
                <w:rFonts w:ascii="Times New Roman" w:hAnsi="Times New Roman"/>
                <w:noProof/>
              </w:rPr>
              <w:t xml:space="preserve">2.4 </w:t>
            </w:r>
            <w:r w:rsidR="00C3082E" w:rsidRPr="003D74FD">
              <w:rPr>
                <w:rStyle w:val="af2"/>
                <w:rFonts w:ascii="Times New Roman" w:hAnsi="Times New Roman" w:hint="eastAsia"/>
                <w:noProof/>
              </w:rPr>
              <w:t>行动措施</w:t>
            </w:r>
            <w:r w:rsidR="00C3082E">
              <w:rPr>
                <w:noProof/>
              </w:rPr>
              <w:tab/>
            </w:r>
            <w:r>
              <w:rPr>
                <w:noProof/>
              </w:rPr>
              <w:fldChar w:fldCharType="begin"/>
            </w:r>
            <w:r w:rsidR="00C3082E">
              <w:rPr>
                <w:noProof/>
              </w:rPr>
              <w:instrText xml:space="preserve"> PAGEREF _Toc206595309 \h </w:instrText>
            </w:r>
            <w:r>
              <w:rPr>
                <w:noProof/>
              </w:rPr>
            </w:r>
            <w:r>
              <w:rPr>
                <w:noProof/>
              </w:rPr>
              <w:fldChar w:fldCharType="separate"/>
            </w:r>
            <w:r w:rsidR="00C3082E">
              <w:rPr>
                <w:noProof/>
              </w:rPr>
              <w:t>4</w:t>
            </w:r>
            <w:r>
              <w:rPr>
                <w:noProof/>
              </w:rPr>
              <w:fldChar w:fldCharType="end"/>
            </w:r>
          </w:hyperlink>
        </w:p>
        <w:p w:rsidR="00C3082E" w:rsidRDefault="006E5BF4">
          <w:pPr>
            <w:pStyle w:val="20"/>
            <w:tabs>
              <w:tab w:val="right" w:leader="dot" w:pos="8296"/>
            </w:tabs>
            <w:rPr>
              <w:rFonts w:asciiTheme="minorHAnsi" w:eastAsiaTheme="minorEastAsia" w:hAnsiTheme="minorHAnsi" w:cstheme="minorBidi"/>
              <w:noProof/>
              <w:kern w:val="2"/>
              <w:sz w:val="21"/>
            </w:rPr>
          </w:pPr>
          <w:hyperlink w:anchor="_Toc206595310" w:history="1">
            <w:r w:rsidR="00C3082E" w:rsidRPr="003D74FD">
              <w:rPr>
                <w:rStyle w:val="af2"/>
                <w:rFonts w:ascii="Times New Roman" w:hAnsi="Times New Roman"/>
                <w:noProof/>
              </w:rPr>
              <w:t xml:space="preserve">2.5 </w:t>
            </w:r>
            <w:r w:rsidR="00C3082E" w:rsidRPr="003D74FD">
              <w:rPr>
                <w:rStyle w:val="af2"/>
                <w:rFonts w:ascii="Times New Roman" w:hAnsi="Times New Roman" w:hint="eastAsia"/>
                <w:noProof/>
              </w:rPr>
              <w:t>主要成效</w:t>
            </w:r>
            <w:r w:rsidR="00C3082E">
              <w:rPr>
                <w:noProof/>
              </w:rPr>
              <w:tab/>
            </w:r>
            <w:r>
              <w:rPr>
                <w:noProof/>
              </w:rPr>
              <w:fldChar w:fldCharType="begin"/>
            </w:r>
            <w:r w:rsidR="00C3082E">
              <w:rPr>
                <w:noProof/>
              </w:rPr>
              <w:instrText xml:space="preserve"> PAGEREF _Toc206595310 \h </w:instrText>
            </w:r>
            <w:r>
              <w:rPr>
                <w:noProof/>
              </w:rPr>
            </w:r>
            <w:r>
              <w:rPr>
                <w:noProof/>
              </w:rPr>
              <w:fldChar w:fldCharType="separate"/>
            </w:r>
            <w:r w:rsidR="00C3082E">
              <w:rPr>
                <w:noProof/>
              </w:rPr>
              <w:t>4</w:t>
            </w:r>
            <w:r>
              <w:rPr>
                <w:noProof/>
              </w:rPr>
              <w:fldChar w:fldCharType="end"/>
            </w:r>
          </w:hyperlink>
        </w:p>
        <w:p w:rsidR="00C3082E" w:rsidRDefault="006E5BF4">
          <w:pPr>
            <w:pStyle w:val="10"/>
            <w:tabs>
              <w:tab w:val="right" w:leader="dot" w:pos="8296"/>
            </w:tabs>
            <w:rPr>
              <w:rFonts w:asciiTheme="minorHAnsi" w:eastAsiaTheme="minorEastAsia" w:hAnsiTheme="minorHAnsi" w:cstheme="minorBidi"/>
              <w:noProof/>
              <w:kern w:val="2"/>
              <w:sz w:val="21"/>
            </w:rPr>
          </w:pPr>
          <w:hyperlink w:anchor="_Toc206595311" w:history="1">
            <w:r w:rsidR="00C3082E" w:rsidRPr="003D74FD">
              <w:rPr>
                <w:rStyle w:val="af2"/>
                <w:rFonts w:hint="eastAsia"/>
                <w:noProof/>
              </w:rPr>
              <w:t>第三章</w:t>
            </w:r>
            <w:r w:rsidR="00C3082E" w:rsidRPr="003D74FD">
              <w:rPr>
                <w:rStyle w:val="af2"/>
                <w:noProof/>
              </w:rPr>
              <w:t xml:space="preserve"> </w:t>
            </w:r>
            <w:r w:rsidR="00C3082E" w:rsidRPr="003D74FD">
              <w:rPr>
                <w:rStyle w:val="af2"/>
                <w:rFonts w:hint="eastAsia"/>
                <w:noProof/>
              </w:rPr>
              <w:t>治理结构</w:t>
            </w:r>
            <w:r w:rsidR="00C3082E">
              <w:rPr>
                <w:noProof/>
              </w:rPr>
              <w:tab/>
            </w:r>
            <w:r>
              <w:rPr>
                <w:noProof/>
              </w:rPr>
              <w:fldChar w:fldCharType="begin"/>
            </w:r>
            <w:r w:rsidR="00C3082E">
              <w:rPr>
                <w:noProof/>
              </w:rPr>
              <w:instrText xml:space="preserve"> PAGEREF _Toc206595311 \h </w:instrText>
            </w:r>
            <w:r>
              <w:rPr>
                <w:noProof/>
              </w:rPr>
            </w:r>
            <w:r>
              <w:rPr>
                <w:noProof/>
              </w:rPr>
              <w:fldChar w:fldCharType="separate"/>
            </w:r>
            <w:r w:rsidR="00C3082E">
              <w:rPr>
                <w:noProof/>
              </w:rPr>
              <w:t>6</w:t>
            </w:r>
            <w:r>
              <w:rPr>
                <w:noProof/>
              </w:rPr>
              <w:fldChar w:fldCharType="end"/>
            </w:r>
          </w:hyperlink>
        </w:p>
        <w:p w:rsidR="00C3082E" w:rsidRDefault="006E5BF4">
          <w:pPr>
            <w:pStyle w:val="20"/>
            <w:tabs>
              <w:tab w:val="right" w:leader="dot" w:pos="8296"/>
            </w:tabs>
            <w:rPr>
              <w:rFonts w:asciiTheme="minorHAnsi" w:eastAsiaTheme="minorEastAsia" w:hAnsiTheme="minorHAnsi" w:cstheme="minorBidi"/>
              <w:noProof/>
              <w:kern w:val="2"/>
              <w:sz w:val="21"/>
            </w:rPr>
          </w:pPr>
          <w:hyperlink w:anchor="_Toc206595312" w:history="1">
            <w:r w:rsidR="00C3082E" w:rsidRPr="003D74FD">
              <w:rPr>
                <w:rStyle w:val="af2"/>
                <w:rFonts w:ascii="Times New Roman" w:hAnsi="Times New Roman"/>
                <w:noProof/>
              </w:rPr>
              <w:t xml:space="preserve">3.1 </w:t>
            </w:r>
            <w:r w:rsidR="00C3082E" w:rsidRPr="003D74FD">
              <w:rPr>
                <w:rStyle w:val="af2"/>
                <w:rFonts w:ascii="Times New Roman" w:hAnsi="Times New Roman" w:hint="eastAsia"/>
                <w:noProof/>
              </w:rPr>
              <w:t>董事会层</w:t>
            </w:r>
            <w:r w:rsidR="00C3082E">
              <w:rPr>
                <w:noProof/>
              </w:rPr>
              <w:tab/>
            </w:r>
            <w:r>
              <w:rPr>
                <w:noProof/>
              </w:rPr>
              <w:fldChar w:fldCharType="begin"/>
            </w:r>
            <w:r w:rsidR="00C3082E">
              <w:rPr>
                <w:noProof/>
              </w:rPr>
              <w:instrText xml:space="preserve"> PAGEREF _Toc206595312 \h </w:instrText>
            </w:r>
            <w:r>
              <w:rPr>
                <w:noProof/>
              </w:rPr>
            </w:r>
            <w:r>
              <w:rPr>
                <w:noProof/>
              </w:rPr>
              <w:fldChar w:fldCharType="separate"/>
            </w:r>
            <w:r w:rsidR="00C3082E">
              <w:rPr>
                <w:noProof/>
              </w:rPr>
              <w:t>6</w:t>
            </w:r>
            <w:r>
              <w:rPr>
                <w:noProof/>
              </w:rPr>
              <w:fldChar w:fldCharType="end"/>
            </w:r>
          </w:hyperlink>
        </w:p>
        <w:p w:rsidR="00C3082E" w:rsidRDefault="006E5BF4">
          <w:pPr>
            <w:pStyle w:val="20"/>
            <w:tabs>
              <w:tab w:val="right" w:leader="dot" w:pos="8296"/>
            </w:tabs>
            <w:rPr>
              <w:rFonts w:asciiTheme="minorHAnsi" w:eastAsiaTheme="minorEastAsia" w:hAnsiTheme="minorHAnsi" w:cstheme="minorBidi"/>
              <w:noProof/>
              <w:kern w:val="2"/>
              <w:sz w:val="21"/>
            </w:rPr>
          </w:pPr>
          <w:hyperlink w:anchor="_Toc206595313" w:history="1">
            <w:r w:rsidR="00C3082E" w:rsidRPr="003D74FD">
              <w:rPr>
                <w:rStyle w:val="af2"/>
                <w:rFonts w:ascii="Times New Roman" w:hAnsi="Times New Roman"/>
                <w:noProof/>
              </w:rPr>
              <w:t xml:space="preserve">3.2 </w:t>
            </w:r>
            <w:r w:rsidR="00C3082E" w:rsidRPr="003D74FD">
              <w:rPr>
                <w:rStyle w:val="af2"/>
                <w:rFonts w:ascii="Times New Roman" w:hAnsi="Times New Roman" w:hint="eastAsia"/>
                <w:noProof/>
              </w:rPr>
              <w:t>高级管理层</w:t>
            </w:r>
            <w:r w:rsidR="00C3082E">
              <w:rPr>
                <w:noProof/>
              </w:rPr>
              <w:tab/>
            </w:r>
            <w:r>
              <w:rPr>
                <w:noProof/>
              </w:rPr>
              <w:fldChar w:fldCharType="begin"/>
            </w:r>
            <w:r w:rsidR="00C3082E">
              <w:rPr>
                <w:noProof/>
              </w:rPr>
              <w:instrText xml:space="preserve"> PAGEREF _Toc206595313 \h </w:instrText>
            </w:r>
            <w:r>
              <w:rPr>
                <w:noProof/>
              </w:rPr>
            </w:r>
            <w:r>
              <w:rPr>
                <w:noProof/>
              </w:rPr>
              <w:fldChar w:fldCharType="separate"/>
            </w:r>
            <w:r w:rsidR="00C3082E">
              <w:rPr>
                <w:noProof/>
              </w:rPr>
              <w:t>6</w:t>
            </w:r>
            <w:r>
              <w:rPr>
                <w:noProof/>
              </w:rPr>
              <w:fldChar w:fldCharType="end"/>
            </w:r>
          </w:hyperlink>
        </w:p>
        <w:p w:rsidR="00C3082E" w:rsidRDefault="006E5BF4">
          <w:pPr>
            <w:pStyle w:val="20"/>
            <w:tabs>
              <w:tab w:val="right" w:leader="dot" w:pos="8296"/>
            </w:tabs>
            <w:rPr>
              <w:rFonts w:asciiTheme="minorHAnsi" w:eastAsiaTheme="minorEastAsia" w:hAnsiTheme="minorHAnsi" w:cstheme="minorBidi"/>
              <w:noProof/>
              <w:kern w:val="2"/>
              <w:sz w:val="21"/>
            </w:rPr>
          </w:pPr>
          <w:hyperlink w:anchor="_Toc206595314" w:history="1">
            <w:r w:rsidR="00C3082E" w:rsidRPr="003D74FD">
              <w:rPr>
                <w:rStyle w:val="af2"/>
                <w:rFonts w:ascii="Times New Roman" w:hAnsi="Times New Roman"/>
                <w:noProof/>
              </w:rPr>
              <w:t xml:space="preserve">3.3 </w:t>
            </w:r>
            <w:r w:rsidR="00C3082E" w:rsidRPr="003D74FD">
              <w:rPr>
                <w:rStyle w:val="af2"/>
                <w:rFonts w:ascii="Times New Roman" w:hAnsi="Times New Roman" w:hint="eastAsia"/>
                <w:noProof/>
              </w:rPr>
              <w:t>专业执行层</w:t>
            </w:r>
            <w:r w:rsidR="00C3082E">
              <w:rPr>
                <w:noProof/>
              </w:rPr>
              <w:tab/>
            </w:r>
            <w:r>
              <w:rPr>
                <w:noProof/>
              </w:rPr>
              <w:fldChar w:fldCharType="begin"/>
            </w:r>
            <w:r w:rsidR="00C3082E">
              <w:rPr>
                <w:noProof/>
              </w:rPr>
              <w:instrText xml:space="preserve"> PAGEREF _Toc206595314 \h </w:instrText>
            </w:r>
            <w:r>
              <w:rPr>
                <w:noProof/>
              </w:rPr>
            </w:r>
            <w:r>
              <w:rPr>
                <w:noProof/>
              </w:rPr>
              <w:fldChar w:fldCharType="separate"/>
            </w:r>
            <w:r w:rsidR="00C3082E">
              <w:rPr>
                <w:noProof/>
              </w:rPr>
              <w:t>6</w:t>
            </w:r>
            <w:r>
              <w:rPr>
                <w:noProof/>
              </w:rPr>
              <w:fldChar w:fldCharType="end"/>
            </w:r>
          </w:hyperlink>
        </w:p>
        <w:p w:rsidR="00C3082E" w:rsidRDefault="006E5BF4">
          <w:pPr>
            <w:pStyle w:val="10"/>
            <w:tabs>
              <w:tab w:val="right" w:leader="dot" w:pos="8296"/>
            </w:tabs>
            <w:rPr>
              <w:rFonts w:asciiTheme="minorHAnsi" w:eastAsiaTheme="minorEastAsia" w:hAnsiTheme="minorHAnsi" w:cstheme="minorBidi"/>
              <w:noProof/>
              <w:kern w:val="2"/>
              <w:sz w:val="21"/>
            </w:rPr>
          </w:pPr>
          <w:hyperlink w:anchor="_Toc206595315" w:history="1">
            <w:r w:rsidR="00C3082E" w:rsidRPr="003D74FD">
              <w:rPr>
                <w:rStyle w:val="af2"/>
                <w:rFonts w:hint="eastAsia"/>
                <w:noProof/>
              </w:rPr>
              <w:t>第四章</w:t>
            </w:r>
            <w:r w:rsidR="00C3082E" w:rsidRPr="003D74FD">
              <w:rPr>
                <w:rStyle w:val="af2"/>
                <w:noProof/>
              </w:rPr>
              <w:t xml:space="preserve"> </w:t>
            </w:r>
            <w:r w:rsidR="00C3082E" w:rsidRPr="003D74FD">
              <w:rPr>
                <w:rStyle w:val="af2"/>
                <w:rFonts w:hint="eastAsia"/>
                <w:noProof/>
              </w:rPr>
              <w:t>政策制度</w:t>
            </w:r>
            <w:r w:rsidR="00C3082E">
              <w:rPr>
                <w:noProof/>
              </w:rPr>
              <w:tab/>
            </w:r>
            <w:r>
              <w:rPr>
                <w:noProof/>
              </w:rPr>
              <w:fldChar w:fldCharType="begin"/>
            </w:r>
            <w:r w:rsidR="00C3082E">
              <w:rPr>
                <w:noProof/>
              </w:rPr>
              <w:instrText xml:space="preserve"> PAGEREF _Toc206595315 \h </w:instrText>
            </w:r>
            <w:r>
              <w:rPr>
                <w:noProof/>
              </w:rPr>
            </w:r>
            <w:r>
              <w:rPr>
                <w:noProof/>
              </w:rPr>
              <w:fldChar w:fldCharType="separate"/>
            </w:r>
            <w:r w:rsidR="00C3082E">
              <w:rPr>
                <w:noProof/>
              </w:rPr>
              <w:t>7</w:t>
            </w:r>
            <w:r>
              <w:rPr>
                <w:noProof/>
              </w:rPr>
              <w:fldChar w:fldCharType="end"/>
            </w:r>
          </w:hyperlink>
        </w:p>
        <w:p w:rsidR="00C3082E" w:rsidRDefault="006E5BF4">
          <w:pPr>
            <w:pStyle w:val="20"/>
            <w:tabs>
              <w:tab w:val="right" w:leader="dot" w:pos="8296"/>
            </w:tabs>
            <w:rPr>
              <w:rFonts w:asciiTheme="minorHAnsi" w:eastAsiaTheme="minorEastAsia" w:hAnsiTheme="minorHAnsi" w:cstheme="minorBidi"/>
              <w:noProof/>
              <w:kern w:val="2"/>
              <w:sz w:val="21"/>
            </w:rPr>
          </w:pPr>
          <w:hyperlink w:anchor="_Toc206595316" w:history="1">
            <w:r w:rsidR="00C3082E" w:rsidRPr="003D74FD">
              <w:rPr>
                <w:rStyle w:val="af2"/>
                <w:rFonts w:ascii="Times New Roman" w:hAnsi="Times New Roman"/>
                <w:noProof/>
              </w:rPr>
              <w:t xml:space="preserve">4.1 </w:t>
            </w:r>
            <w:r w:rsidR="00C3082E" w:rsidRPr="003D74FD">
              <w:rPr>
                <w:rStyle w:val="af2"/>
                <w:rFonts w:ascii="Times New Roman" w:hAnsi="Times New Roman" w:hint="eastAsia"/>
                <w:noProof/>
              </w:rPr>
              <w:t>公司政策</w:t>
            </w:r>
            <w:r w:rsidR="00C3082E">
              <w:rPr>
                <w:noProof/>
              </w:rPr>
              <w:tab/>
            </w:r>
            <w:r>
              <w:rPr>
                <w:noProof/>
              </w:rPr>
              <w:fldChar w:fldCharType="begin"/>
            </w:r>
            <w:r w:rsidR="00C3082E">
              <w:rPr>
                <w:noProof/>
              </w:rPr>
              <w:instrText xml:space="preserve"> PAGEREF _Toc206595316 \h </w:instrText>
            </w:r>
            <w:r>
              <w:rPr>
                <w:noProof/>
              </w:rPr>
            </w:r>
            <w:r>
              <w:rPr>
                <w:noProof/>
              </w:rPr>
              <w:fldChar w:fldCharType="separate"/>
            </w:r>
            <w:r w:rsidR="00C3082E">
              <w:rPr>
                <w:noProof/>
              </w:rPr>
              <w:t>7</w:t>
            </w:r>
            <w:r>
              <w:rPr>
                <w:noProof/>
              </w:rPr>
              <w:fldChar w:fldCharType="end"/>
            </w:r>
          </w:hyperlink>
        </w:p>
        <w:p w:rsidR="00C3082E" w:rsidRDefault="006E5BF4">
          <w:pPr>
            <w:pStyle w:val="20"/>
            <w:tabs>
              <w:tab w:val="right" w:leader="dot" w:pos="8296"/>
            </w:tabs>
            <w:rPr>
              <w:rFonts w:asciiTheme="minorHAnsi" w:eastAsiaTheme="minorEastAsia" w:hAnsiTheme="minorHAnsi" w:cstheme="minorBidi"/>
              <w:noProof/>
              <w:kern w:val="2"/>
              <w:sz w:val="21"/>
            </w:rPr>
          </w:pPr>
          <w:hyperlink w:anchor="_Toc206595317" w:history="1">
            <w:r w:rsidR="00C3082E" w:rsidRPr="003D74FD">
              <w:rPr>
                <w:rStyle w:val="af2"/>
                <w:rFonts w:ascii="Times New Roman" w:hAnsi="Times New Roman"/>
                <w:noProof/>
              </w:rPr>
              <w:t xml:space="preserve">4.2 </w:t>
            </w:r>
            <w:r w:rsidR="00C3082E" w:rsidRPr="003D74FD">
              <w:rPr>
                <w:rStyle w:val="af2"/>
                <w:rFonts w:ascii="Times New Roman" w:hAnsi="Times New Roman" w:hint="eastAsia"/>
                <w:noProof/>
              </w:rPr>
              <w:t>国内政策</w:t>
            </w:r>
            <w:r w:rsidR="00C3082E">
              <w:rPr>
                <w:noProof/>
              </w:rPr>
              <w:tab/>
            </w:r>
            <w:r>
              <w:rPr>
                <w:noProof/>
              </w:rPr>
              <w:fldChar w:fldCharType="begin"/>
            </w:r>
            <w:r w:rsidR="00C3082E">
              <w:rPr>
                <w:noProof/>
              </w:rPr>
              <w:instrText xml:space="preserve"> PAGEREF _Toc206595317 \h </w:instrText>
            </w:r>
            <w:r>
              <w:rPr>
                <w:noProof/>
              </w:rPr>
            </w:r>
            <w:r>
              <w:rPr>
                <w:noProof/>
              </w:rPr>
              <w:fldChar w:fldCharType="separate"/>
            </w:r>
            <w:r w:rsidR="00C3082E">
              <w:rPr>
                <w:noProof/>
              </w:rPr>
              <w:t>7</w:t>
            </w:r>
            <w:r>
              <w:rPr>
                <w:noProof/>
              </w:rPr>
              <w:fldChar w:fldCharType="end"/>
            </w:r>
          </w:hyperlink>
        </w:p>
        <w:p w:rsidR="00C3082E" w:rsidRDefault="006E5BF4">
          <w:pPr>
            <w:pStyle w:val="20"/>
            <w:tabs>
              <w:tab w:val="right" w:leader="dot" w:pos="8296"/>
            </w:tabs>
            <w:rPr>
              <w:rFonts w:asciiTheme="minorHAnsi" w:eastAsiaTheme="minorEastAsia" w:hAnsiTheme="minorHAnsi" w:cstheme="minorBidi"/>
              <w:noProof/>
              <w:kern w:val="2"/>
              <w:sz w:val="21"/>
            </w:rPr>
          </w:pPr>
          <w:hyperlink w:anchor="_Toc206595318" w:history="1">
            <w:r w:rsidR="00C3082E" w:rsidRPr="003D74FD">
              <w:rPr>
                <w:rStyle w:val="af2"/>
                <w:rFonts w:ascii="Times New Roman" w:hAnsi="Times New Roman"/>
                <w:noProof/>
              </w:rPr>
              <w:t xml:space="preserve">4.3 </w:t>
            </w:r>
            <w:r w:rsidR="00C3082E" w:rsidRPr="003D74FD">
              <w:rPr>
                <w:rStyle w:val="af2"/>
                <w:rFonts w:ascii="Times New Roman" w:hAnsi="Times New Roman" w:hint="eastAsia"/>
                <w:noProof/>
              </w:rPr>
              <w:t>国际标准</w:t>
            </w:r>
            <w:r w:rsidR="00C3082E">
              <w:rPr>
                <w:noProof/>
              </w:rPr>
              <w:tab/>
            </w:r>
            <w:r>
              <w:rPr>
                <w:noProof/>
              </w:rPr>
              <w:fldChar w:fldCharType="begin"/>
            </w:r>
            <w:r w:rsidR="00C3082E">
              <w:rPr>
                <w:noProof/>
              </w:rPr>
              <w:instrText xml:space="preserve"> PAGEREF _Toc206595318 \h </w:instrText>
            </w:r>
            <w:r>
              <w:rPr>
                <w:noProof/>
              </w:rPr>
            </w:r>
            <w:r>
              <w:rPr>
                <w:noProof/>
              </w:rPr>
              <w:fldChar w:fldCharType="separate"/>
            </w:r>
            <w:r w:rsidR="00C3082E">
              <w:rPr>
                <w:noProof/>
              </w:rPr>
              <w:t>9</w:t>
            </w:r>
            <w:r>
              <w:rPr>
                <w:noProof/>
              </w:rPr>
              <w:fldChar w:fldCharType="end"/>
            </w:r>
          </w:hyperlink>
        </w:p>
        <w:p w:rsidR="00C3082E" w:rsidRDefault="006E5BF4">
          <w:pPr>
            <w:pStyle w:val="10"/>
            <w:tabs>
              <w:tab w:val="right" w:leader="dot" w:pos="8296"/>
            </w:tabs>
            <w:rPr>
              <w:rFonts w:asciiTheme="minorHAnsi" w:eastAsiaTheme="minorEastAsia" w:hAnsiTheme="minorHAnsi" w:cstheme="minorBidi"/>
              <w:noProof/>
              <w:kern w:val="2"/>
              <w:sz w:val="21"/>
            </w:rPr>
          </w:pPr>
          <w:hyperlink w:anchor="_Toc206595319" w:history="1">
            <w:r w:rsidR="00C3082E" w:rsidRPr="003D74FD">
              <w:rPr>
                <w:rStyle w:val="af2"/>
                <w:rFonts w:hint="eastAsia"/>
                <w:noProof/>
              </w:rPr>
              <w:t>第五章</w:t>
            </w:r>
            <w:r w:rsidR="00C3082E" w:rsidRPr="003D74FD">
              <w:rPr>
                <w:rStyle w:val="af2"/>
                <w:noProof/>
              </w:rPr>
              <w:t xml:space="preserve"> </w:t>
            </w:r>
            <w:r w:rsidR="00C3082E" w:rsidRPr="003D74FD">
              <w:rPr>
                <w:rStyle w:val="af2"/>
                <w:rFonts w:hint="eastAsia"/>
                <w:noProof/>
              </w:rPr>
              <w:t>环境管理</w:t>
            </w:r>
            <w:r w:rsidR="00C3082E">
              <w:rPr>
                <w:noProof/>
              </w:rPr>
              <w:tab/>
            </w:r>
            <w:r>
              <w:rPr>
                <w:noProof/>
              </w:rPr>
              <w:fldChar w:fldCharType="begin"/>
            </w:r>
            <w:r w:rsidR="00C3082E">
              <w:rPr>
                <w:noProof/>
              </w:rPr>
              <w:instrText xml:space="preserve"> PAGEREF _Toc206595319 \h </w:instrText>
            </w:r>
            <w:r>
              <w:rPr>
                <w:noProof/>
              </w:rPr>
            </w:r>
            <w:r>
              <w:rPr>
                <w:noProof/>
              </w:rPr>
              <w:fldChar w:fldCharType="separate"/>
            </w:r>
            <w:r w:rsidR="00C3082E">
              <w:rPr>
                <w:noProof/>
              </w:rPr>
              <w:t>10</w:t>
            </w:r>
            <w:r>
              <w:rPr>
                <w:noProof/>
              </w:rPr>
              <w:fldChar w:fldCharType="end"/>
            </w:r>
          </w:hyperlink>
        </w:p>
        <w:p w:rsidR="00C3082E" w:rsidRDefault="006E5BF4">
          <w:pPr>
            <w:pStyle w:val="20"/>
            <w:tabs>
              <w:tab w:val="right" w:leader="dot" w:pos="8296"/>
            </w:tabs>
            <w:rPr>
              <w:rFonts w:asciiTheme="minorHAnsi" w:eastAsiaTheme="minorEastAsia" w:hAnsiTheme="minorHAnsi" w:cstheme="minorBidi"/>
              <w:noProof/>
              <w:kern w:val="2"/>
              <w:sz w:val="21"/>
            </w:rPr>
          </w:pPr>
          <w:hyperlink w:anchor="_Toc206595320" w:history="1">
            <w:r w:rsidR="00C3082E" w:rsidRPr="003D74FD">
              <w:rPr>
                <w:rStyle w:val="af2"/>
                <w:rFonts w:ascii="Times New Roman" w:hAnsi="Times New Roman"/>
                <w:noProof/>
              </w:rPr>
              <w:t xml:space="preserve">5.1 </w:t>
            </w:r>
            <w:r w:rsidR="00C3082E" w:rsidRPr="003D74FD">
              <w:rPr>
                <w:rStyle w:val="af2"/>
                <w:rFonts w:ascii="Times New Roman" w:hAnsi="Times New Roman" w:hint="eastAsia"/>
                <w:noProof/>
              </w:rPr>
              <w:t>环境风险、机遇及应对措施</w:t>
            </w:r>
            <w:r w:rsidR="00C3082E">
              <w:rPr>
                <w:noProof/>
              </w:rPr>
              <w:tab/>
            </w:r>
            <w:r>
              <w:rPr>
                <w:noProof/>
              </w:rPr>
              <w:fldChar w:fldCharType="begin"/>
            </w:r>
            <w:r w:rsidR="00C3082E">
              <w:rPr>
                <w:noProof/>
              </w:rPr>
              <w:instrText xml:space="preserve"> PAGEREF _Toc206595320 \h </w:instrText>
            </w:r>
            <w:r>
              <w:rPr>
                <w:noProof/>
              </w:rPr>
            </w:r>
            <w:r>
              <w:rPr>
                <w:noProof/>
              </w:rPr>
              <w:fldChar w:fldCharType="separate"/>
            </w:r>
            <w:r w:rsidR="00C3082E">
              <w:rPr>
                <w:noProof/>
              </w:rPr>
              <w:t>10</w:t>
            </w:r>
            <w:r>
              <w:rPr>
                <w:noProof/>
              </w:rPr>
              <w:fldChar w:fldCharType="end"/>
            </w:r>
          </w:hyperlink>
        </w:p>
        <w:p w:rsidR="00C3082E" w:rsidRDefault="006E5BF4">
          <w:pPr>
            <w:pStyle w:val="20"/>
            <w:tabs>
              <w:tab w:val="right" w:leader="dot" w:pos="8296"/>
            </w:tabs>
            <w:rPr>
              <w:rFonts w:asciiTheme="minorHAnsi" w:eastAsiaTheme="minorEastAsia" w:hAnsiTheme="minorHAnsi" w:cstheme="minorBidi"/>
              <w:noProof/>
              <w:kern w:val="2"/>
              <w:sz w:val="21"/>
            </w:rPr>
          </w:pPr>
          <w:hyperlink w:anchor="_Toc206595321" w:history="1">
            <w:r w:rsidR="00C3082E" w:rsidRPr="003D74FD">
              <w:rPr>
                <w:rStyle w:val="af2"/>
                <w:rFonts w:ascii="Times New Roman" w:hAnsi="Times New Roman"/>
                <w:noProof/>
              </w:rPr>
              <w:t xml:space="preserve">5.2 </w:t>
            </w:r>
            <w:r w:rsidR="00C3082E" w:rsidRPr="003D74FD">
              <w:rPr>
                <w:rStyle w:val="af2"/>
                <w:rFonts w:ascii="Times New Roman" w:hAnsi="Times New Roman" w:hint="eastAsia"/>
                <w:noProof/>
              </w:rPr>
              <w:t>利益相关方环境议题</w:t>
            </w:r>
            <w:r w:rsidR="00C3082E">
              <w:rPr>
                <w:noProof/>
              </w:rPr>
              <w:tab/>
            </w:r>
            <w:r>
              <w:rPr>
                <w:noProof/>
              </w:rPr>
              <w:fldChar w:fldCharType="begin"/>
            </w:r>
            <w:r w:rsidR="00C3082E">
              <w:rPr>
                <w:noProof/>
              </w:rPr>
              <w:instrText xml:space="preserve"> PAGEREF _Toc206595321 \h </w:instrText>
            </w:r>
            <w:r>
              <w:rPr>
                <w:noProof/>
              </w:rPr>
            </w:r>
            <w:r>
              <w:rPr>
                <w:noProof/>
              </w:rPr>
              <w:fldChar w:fldCharType="separate"/>
            </w:r>
            <w:r w:rsidR="00C3082E">
              <w:rPr>
                <w:noProof/>
              </w:rPr>
              <w:t>11</w:t>
            </w:r>
            <w:r>
              <w:rPr>
                <w:noProof/>
              </w:rPr>
              <w:fldChar w:fldCharType="end"/>
            </w:r>
          </w:hyperlink>
        </w:p>
        <w:p w:rsidR="00C3082E" w:rsidRDefault="006E5BF4">
          <w:pPr>
            <w:pStyle w:val="20"/>
            <w:tabs>
              <w:tab w:val="right" w:leader="dot" w:pos="8296"/>
            </w:tabs>
            <w:rPr>
              <w:rFonts w:asciiTheme="minorHAnsi" w:eastAsiaTheme="minorEastAsia" w:hAnsiTheme="minorHAnsi" w:cstheme="minorBidi"/>
              <w:noProof/>
              <w:kern w:val="2"/>
              <w:sz w:val="21"/>
            </w:rPr>
          </w:pPr>
          <w:hyperlink w:anchor="_Toc206595322" w:history="1">
            <w:r w:rsidR="00C3082E" w:rsidRPr="003D74FD">
              <w:rPr>
                <w:rStyle w:val="af2"/>
                <w:rFonts w:ascii="Times New Roman" w:hAnsi="Times New Roman"/>
                <w:noProof/>
              </w:rPr>
              <w:t>5.3</w:t>
            </w:r>
            <w:r w:rsidR="00C3082E" w:rsidRPr="003D74FD">
              <w:rPr>
                <w:rStyle w:val="af2"/>
                <w:rFonts w:ascii="Times New Roman" w:hAnsi="Times New Roman" w:hint="eastAsia"/>
                <w:noProof/>
              </w:rPr>
              <w:t>情景分析与压力测试</w:t>
            </w:r>
            <w:r w:rsidR="00C3082E">
              <w:rPr>
                <w:noProof/>
              </w:rPr>
              <w:tab/>
            </w:r>
            <w:r>
              <w:rPr>
                <w:noProof/>
              </w:rPr>
              <w:fldChar w:fldCharType="begin"/>
            </w:r>
            <w:r w:rsidR="00C3082E">
              <w:rPr>
                <w:noProof/>
              </w:rPr>
              <w:instrText xml:space="preserve"> PAGEREF _Toc206595322 \h </w:instrText>
            </w:r>
            <w:r>
              <w:rPr>
                <w:noProof/>
              </w:rPr>
            </w:r>
            <w:r>
              <w:rPr>
                <w:noProof/>
              </w:rPr>
              <w:fldChar w:fldCharType="separate"/>
            </w:r>
            <w:r w:rsidR="00C3082E">
              <w:rPr>
                <w:noProof/>
              </w:rPr>
              <w:t>11</w:t>
            </w:r>
            <w:r>
              <w:rPr>
                <w:noProof/>
              </w:rPr>
              <w:fldChar w:fldCharType="end"/>
            </w:r>
          </w:hyperlink>
        </w:p>
        <w:p w:rsidR="00C3082E" w:rsidRDefault="006E5BF4">
          <w:pPr>
            <w:pStyle w:val="10"/>
            <w:tabs>
              <w:tab w:val="right" w:leader="dot" w:pos="8296"/>
            </w:tabs>
            <w:rPr>
              <w:rFonts w:asciiTheme="minorHAnsi" w:eastAsiaTheme="minorEastAsia" w:hAnsiTheme="minorHAnsi" w:cstheme="minorBidi"/>
              <w:noProof/>
              <w:kern w:val="2"/>
              <w:sz w:val="21"/>
            </w:rPr>
          </w:pPr>
          <w:hyperlink w:anchor="_Toc206595323" w:history="1">
            <w:r w:rsidR="00C3082E" w:rsidRPr="003D74FD">
              <w:rPr>
                <w:rStyle w:val="af2"/>
                <w:rFonts w:hint="eastAsia"/>
                <w:noProof/>
              </w:rPr>
              <w:t>第六章</w:t>
            </w:r>
            <w:r w:rsidR="00C3082E" w:rsidRPr="003D74FD">
              <w:rPr>
                <w:rStyle w:val="af2"/>
                <w:noProof/>
              </w:rPr>
              <w:t xml:space="preserve"> </w:t>
            </w:r>
            <w:r w:rsidR="00C3082E" w:rsidRPr="003D74FD">
              <w:rPr>
                <w:rStyle w:val="af2"/>
                <w:rFonts w:hint="eastAsia"/>
                <w:noProof/>
              </w:rPr>
              <w:t>自身经营的环境影响</w:t>
            </w:r>
            <w:r w:rsidR="00C3082E">
              <w:rPr>
                <w:noProof/>
              </w:rPr>
              <w:tab/>
            </w:r>
            <w:r>
              <w:rPr>
                <w:noProof/>
              </w:rPr>
              <w:fldChar w:fldCharType="begin"/>
            </w:r>
            <w:r w:rsidR="00C3082E">
              <w:rPr>
                <w:noProof/>
              </w:rPr>
              <w:instrText xml:space="preserve"> PAGEREF _Toc206595323 \h </w:instrText>
            </w:r>
            <w:r>
              <w:rPr>
                <w:noProof/>
              </w:rPr>
            </w:r>
            <w:r>
              <w:rPr>
                <w:noProof/>
              </w:rPr>
              <w:fldChar w:fldCharType="separate"/>
            </w:r>
            <w:r w:rsidR="00C3082E">
              <w:rPr>
                <w:noProof/>
              </w:rPr>
              <w:t>14</w:t>
            </w:r>
            <w:r>
              <w:rPr>
                <w:noProof/>
              </w:rPr>
              <w:fldChar w:fldCharType="end"/>
            </w:r>
          </w:hyperlink>
        </w:p>
        <w:p w:rsidR="00C3082E" w:rsidRDefault="006E5BF4">
          <w:pPr>
            <w:pStyle w:val="20"/>
            <w:tabs>
              <w:tab w:val="right" w:leader="dot" w:pos="8296"/>
            </w:tabs>
            <w:rPr>
              <w:rFonts w:asciiTheme="minorHAnsi" w:eastAsiaTheme="minorEastAsia" w:hAnsiTheme="minorHAnsi" w:cstheme="minorBidi"/>
              <w:noProof/>
              <w:kern w:val="2"/>
              <w:sz w:val="21"/>
            </w:rPr>
          </w:pPr>
          <w:hyperlink w:anchor="_Toc206595324" w:history="1">
            <w:r w:rsidR="00C3082E" w:rsidRPr="003D74FD">
              <w:rPr>
                <w:rStyle w:val="af2"/>
                <w:rFonts w:ascii="Times New Roman" w:hAnsi="Times New Roman"/>
                <w:noProof/>
              </w:rPr>
              <w:t xml:space="preserve">6.1 </w:t>
            </w:r>
            <w:r w:rsidR="00C3082E" w:rsidRPr="003D74FD">
              <w:rPr>
                <w:rStyle w:val="af2"/>
                <w:rFonts w:ascii="Times New Roman" w:hAnsi="Times New Roman" w:hint="eastAsia"/>
                <w:noProof/>
              </w:rPr>
              <w:t>自身经营的能源和资源消耗</w:t>
            </w:r>
            <w:r w:rsidR="00C3082E">
              <w:rPr>
                <w:noProof/>
              </w:rPr>
              <w:tab/>
            </w:r>
            <w:r>
              <w:rPr>
                <w:noProof/>
              </w:rPr>
              <w:fldChar w:fldCharType="begin"/>
            </w:r>
            <w:r w:rsidR="00C3082E">
              <w:rPr>
                <w:noProof/>
              </w:rPr>
              <w:instrText xml:space="preserve"> PAGEREF _Toc206595324 \h </w:instrText>
            </w:r>
            <w:r>
              <w:rPr>
                <w:noProof/>
              </w:rPr>
            </w:r>
            <w:r>
              <w:rPr>
                <w:noProof/>
              </w:rPr>
              <w:fldChar w:fldCharType="separate"/>
            </w:r>
            <w:r w:rsidR="00C3082E">
              <w:rPr>
                <w:noProof/>
              </w:rPr>
              <w:t>14</w:t>
            </w:r>
            <w:r>
              <w:rPr>
                <w:noProof/>
              </w:rPr>
              <w:fldChar w:fldCharType="end"/>
            </w:r>
          </w:hyperlink>
        </w:p>
        <w:p w:rsidR="00C3082E" w:rsidRDefault="006E5BF4">
          <w:pPr>
            <w:pStyle w:val="20"/>
            <w:tabs>
              <w:tab w:val="right" w:leader="dot" w:pos="8296"/>
            </w:tabs>
            <w:rPr>
              <w:rFonts w:asciiTheme="minorHAnsi" w:eastAsiaTheme="minorEastAsia" w:hAnsiTheme="minorHAnsi" w:cstheme="minorBidi"/>
              <w:noProof/>
              <w:kern w:val="2"/>
              <w:sz w:val="21"/>
            </w:rPr>
          </w:pPr>
          <w:hyperlink w:anchor="_Toc206595325" w:history="1">
            <w:r w:rsidR="00C3082E" w:rsidRPr="003D74FD">
              <w:rPr>
                <w:rStyle w:val="af2"/>
                <w:rFonts w:ascii="Times New Roman" w:hAnsi="Times New Roman"/>
                <w:noProof/>
              </w:rPr>
              <w:t xml:space="preserve">6.2 </w:t>
            </w:r>
            <w:r w:rsidR="00C3082E" w:rsidRPr="003D74FD">
              <w:rPr>
                <w:rStyle w:val="af2"/>
                <w:rFonts w:ascii="Times New Roman" w:hAnsi="Times New Roman" w:hint="eastAsia"/>
                <w:noProof/>
              </w:rPr>
              <w:t>自身经营的碳排放</w:t>
            </w:r>
            <w:r w:rsidR="00C3082E">
              <w:rPr>
                <w:noProof/>
              </w:rPr>
              <w:tab/>
            </w:r>
            <w:r>
              <w:rPr>
                <w:noProof/>
              </w:rPr>
              <w:fldChar w:fldCharType="begin"/>
            </w:r>
            <w:r w:rsidR="00C3082E">
              <w:rPr>
                <w:noProof/>
              </w:rPr>
              <w:instrText xml:space="preserve"> PAGEREF _Toc206595325 \h </w:instrText>
            </w:r>
            <w:r>
              <w:rPr>
                <w:noProof/>
              </w:rPr>
            </w:r>
            <w:r>
              <w:rPr>
                <w:noProof/>
              </w:rPr>
              <w:fldChar w:fldCharType="separate"/>
            </w:r>
            <w:r w:rsidR="00C3082E">
              <w:rPr>
                <w:noProof/>
              </w:rPr>
              <w:t>14</w:t>
            </w:r>
            <w:r>
              <w:rPr>
                <w:noProof/>
              </w:rPr>
              <w:fldChar w:fldCharType="end"/>
            </w:r>
          </w:hyperlink>
        </w:p>
        <w:p w:rsidR="00C3082E" w:rsidRDefault="006E5BF4">
          <w:pPr>
            <w:pStyle w:val="20"/>
            <w:tabs>
              <w:tab w:val="right" w:leader="dot" w:pos="8296"/>
            </w:tabs>
            <w:rPr>
              <w:rFonts w:asciiTheme="minorHAnsi" w:eastAsiaTheme="minorEastAsia" w:hAnsiTheme="minorHAnsi" w:cstheme="minorBidi"/>
              <w:noProof/>
              <w:kern w:val="2"/>
              <w:sz w:val="21"/>
            </w:rPr>
          </w:pPr>
          <w:hyperlink w:anchor="_Toc206595326" w:history="1">
            <w:r w:rsidR="00C3082E" w:rsidRPr="003D74FD">
              <w:rPr>
                <w:rStyle w:val="af2"/>
                <w:rFonts w:ascii="Times New Roman" w:hAnsi="Times New Roman"/>
                <w:noProof/>
              </w:rPr>
              <w:t xml:space="preserve">6.3 </w:t>
            </w:r>
            <w:r w:rsidR="00C3082E" w:rsidRPr="003D74FD">
              <w:rPr>
                <w:rStyle w:val="af2"/>
                <w:rFonts w:ascii="Times New Roman" w:hAnsi="Times New Roman" w:hint="eastAsia"/>
                <w:noProof/>
              </w:rPr>
              <w:t>自身经营的碳减排</w:t>
            </w:r>
            <w:r w:rsidR="00C3082E">
              <w:rPr>
                <w:noProof/>
              </w:rPr>
              <w:tab/>
            </w:r>
            <w:r>
              <w:rPr>
                <w:noProof/>
              </w:rPr>
              <w:fldChar w:fldCharType="begin"/>
            </w:r>
            <w:r w:rsidR="00C3082E">
              <w:rPr>
                <w:noProof/>
              </w:rPr>
              <w:instrText xml:space="preserve"> PAGEREF _Toc206595326 \h </w:instrText>
            </w:r>
            <w:r>
              <w:rPr>
                <w:noProof/>
              </w:rPr>
            </w:r>
            <w:r>
              <w:rPr>
                <w:noProof/>
              </w:rPr>
              <w:fldChar w:fldCharType="separate"/>
            </w:r>
            <w:r w:rsidR="00C3082E">
              <w:rPr>
                <w:noProof/>
              </w:rPr>
              <w:t>15</w:t>
            </w:r>
            <w:r>
              <w:rPr>
                <w:noProof/>
              </w:rPr>
              <w:fldChar w:fldCharType="end"/>
            </w:r>
          </w:hyperlink>
        </w:p>
        <w:p w:rsidR="00C3082E" w:rsidRDefault="006E5BF4">
          <w:pPr>
            <w:pStyle w:val="10"/>
            <w:tabs>
              <w:tab w:val="right" w:leader="dot" w:pos="8296"/>
            </w:tabs>
            <w:rPr>
              <w:rFonts w:asciiTheme="minorHAnsi" w:eastAsiaTheme="minorEastAsia" w:hAnsiTheme="minorHAnsi" w:cstheme="minorBidi"/>
              <w:noProof/>
              <w:kern w:val="2"/>
              <w:sz w:val="21"/>
            </w:rPr>
          </w:pPr>
          <w:hyperlink w:anchor="_Toc206595327" w:history="1">
            <w:r w:rsidR="00C3082E" w:rsidRPr="003D74FD">
              <w:rPr>
                <w:rStyle w:val="af2"/>
                <w:rFonts w:hint="eastAsia"/>
                <w:noProof/>
              </w:rPr>
              <w:t>第七章</w:t>
            </w:r>
            <w:r w:rsidR="00C3082E" w:rsidRPr="003D74FD">
              <w:rPr>
                <w:rStyle w:val="af2"/>
                <w:noProof/>
              </w:rPr>
              <w:t xml:space="preserve"> </w:t>
            </w:r>
            <w:r w:rsidR="00C3082E" w:rsidRPr="003D74FD">
              <w:rPr>
                <w:rStyle w:val="af2"/>
                <w:rFonts w:hint="eastAsia"/>
                <w:noProof/>
              </w:rPr>
              <w:t>投融资活动的碳排放</w:t>
            </w:r>
            <w:r w:rsidR="00C3082E">
              <w:rPr>
                <w:noProof/>
              </w:rPr>
              <w:tab/>
            </w:r>
            <w:r>
              <w:rPr>
                <w:noProof/>
              </w:rPr>
              <w:fldChar w:fldCharType="begin"/>
            </w:r>
            <w:r w:rsidR="00C3082E">
              <w:rPr>
                <w:noProof/>
              </w:rPr>
              <w:instrText xml:space="preserve"> PAGEREF _Toc206595327 \h </w:instrText>
            </w:r>
            <w:r>
              <w:rPr>
                <w:noProof/>
              </w:rPr>
            </w:r>
            <w:r>
              <w:rPr>
                <w:noProof/>
              </w:rPr>
              <w:fldChar w:fldCharType="separate"/>
            </w:r>
            <w:r w:rsidR="00C3082E">
              <w:rPr>
                <w:noProof/>
              </w:rPr>
              <w:t>16</w:t>
            </w:r>
            <w:r>
              <w:rPr>
                <w:noProof/>
              </w:rPr>
              <w:fldChar w:fldCharType="end"/>
            </w:r>
          </w:hyperlink>
        </w:p>
        <w:p w:rsidR="00C3082E" w:rsidRDefault="006E5BF4">
          <w:pPr>
            <w:pStyle w:val="20"/>
            <w:tabs>
              <w:tab w:val="right" w:leader="dot" w:pos="8296"/>
            </w:tabs>
            <w:rPr>
              <w:rFonts w:asciiTheme="minorHAnsi" w:eastAsiaTheme="minorEastAsia" w:hAnsiTheme="minorHAnsi" w:cstheme="minorBidi"/>
              <w:noProof/>
              <w:kern w:val="2"/>
              <w:sz w:val="21"/>
            </w:rPr>
          </w:pPr>
          <w:hyperlink w:anchor="_Toc206595328" w:history="1">
            <w:r w:rsidR="00C3082E" w:rsidRPr="003D74FD">
              <w:rPr>
                <w:rStyle w:val="af2"/>
                <w:rFonts w:ascii="Times New Roman" w:hAnsi="Times New Roman"/>
                <w:noProof/>
              </w:rPr>
              <w:t xml:space="preserve">7.1 </w:t>
            </w:r>
            <w:r w:rsidR="00C3082E" w:rsidRPr="003D74FD">
              <w:rPr>
                <w:rStyle w:val="af2"/>
                <w:rFonts w:ascii="Times New Roman" w:hAnsi="Times New Roman" w:hint="eastAsia"/>
                <w:noProof/>
              </w:rPr>
              <w:t>信贷资产</w:t>
            </w:r>
            <w:r w:rsidR="00C3082E">
              <w:rPr>
                <w:noProof/>
              </w:rPr>
              <w:tab/>
            </w:r>
            <w:r>
              <w:rPr>
                <w:noProof/>
              </w:rPr>
              <w:fldChar w:fldCharType="begin"/>
            </w:r>
            <w:r w:rsidR="00C3082E">
              <w:rPr>
                <w:noProof/>
              </w:rPr>
              <w:instrText xml:space="preserve"> PAGEREF _Toc206595328 \h </w:instrText>
            </w:r>
            <w:r>
              <w:rPr>
                <w:noProof/>
              </w:rPr>
            </w:r>
            <w:r>
              <w:rPr>
                <w:noProof/>
              </w:rPr>
              <w:fldChar w:fldCharType="separate"/>
            </w:r>
            <w:r w:rsidR="00C3082E">
              <w:rPr>
                <w:noProof/>
              </w:rPr>
              <w:t>16</w:t>
            </w:r>
            <w:r>
              <w:rPr>
                <w:noProof/>
              </w:rPr>
              <w:fldChar w:fldCharType="end"/>
            </w:r>
          </w:hyperlink>
        </w:p>
        <w:p w:rsidR="00C3082E" w:rsidRDefault="006E5BF4">
          <w:pPr>
            <w:pStyle w:val="20"/>
            <w:tabs>
              <w:tab w:val="right" w:leader="dot" w:pos="8296"/>
            </w:tabs>
            <w:rPr>
              <w:rFonts w:asciiTheme="minorHAnsi" w:eastAsiaTheme="minorEastAsia" w:hAnsiTheme="minorHAnsi" w:cstheme="minorBidi"/>
              <w:noProof/>
              <w:kern w:val="2"/>
              <w:sz w:val="21"/>
            </w:rPr>
          </w:pPr>
          <w:hyperlink w:anchor="_Toc206595329" w:history="1">
            <w:r w:rsidR="00C3082E" w:rsidRPr="003D74FD">
              <w:rPr>
                <w:rStyle w:val="af2"/>
                <w:rFonts w:ascii="Times New Roman" w:hAnsi="Times New Roman"/>
                <w:noProof/>
              </w:rPr>
              <w:t xml:space="preserve">7.2 </w:t>
            </w:r>
            <w:r w:rsidR="00C3082E" w:rsidRPr="003D74FD">
              <w:rPr>
                <w:rStyle w:val="af2"/>
                <w:rFonts w:ascii="Times New Roman" w:hAnsi="Times New Roman" w:hint="eastAsia"/>
                <w:noProof/>
              </w:rPr>
              <w:t>债券资产</w:t>
            </w:r>
            <w:r w:rsidR="00C3082E">
              <w:rPr>
                <w:noProof/>
              </w:rPr>
              <w:tab/>
            </w:r>
            <w:r>
              <w:rPr>
                <w:noProof/>
              </w:rPr>
              <w:fldChar w:fldCharType="begin"/>
            </w:r>
            <w:r w:rsidR="00C3082E">
              <w:rPr>
                <w:noProof/>
              </w:rPr>
              <w:instrText xml:space="preserve"> PAGEREF _Toc206595329 \h </w:instrText>
            </w:r>
            <w:r>
              <w:rPr>
                <w:noProof/>
              </w:rPr>
            </w:r>
            <w:r>
              <w:rPr>
                <w:noProof/>
              </w:rPr>
              <w:fldChar w:fldCharType="separate"/>
            </w:r>
            <w:r w:rsidR="00C3082E">
              <w:rPr>
                <w:noProof/>
              </w:rPr>
              <w:t>17</w:t>
            </w:r>
            <w:r>
              <w:rPr>
                <w:noProof/>
              </w:rPr>
              <w:fldChar w:fldCharType="end"/>
            </w:r>
          </w:hyperlink>
        </w:p>
        <w:p w:rsidR="00C3082E" w:rsidRDefault="006E5BF4">
          <w:pPr>
            <w:pStyle w:val="20"/>
            <w:tabs>
              <w:tab w:val="right" w:leader="dot" w:pos="8296"/>
            </w:tabs>
            <w:rPr>
              <w:rFonts w:asciiTheme="minorHAnsi" w:eastAsiaTheme="minorEastAsia" w:hAnsiTheme="minorHAnsi" w:cstheme="minorBidi"/>
              <w:noProof/>
              <w:kern w:val="2"/>
              <w:sz w:val="21"/>
            </w:rPr>
          </w:pPr>
          <w:hyperlink w:anchor="_Toc206595330" w:history="1">
            <w:r w:rsidR="00C3082E" w:rsidRPr="003D74FD">
              <w:rPr>
                <w:rStyle w:val="af2"/>
                <w:rFonts w:ascii="Times New Roman" w:hAnsi="Times New Roman"/>
                <w:noProof/>
              </w:rPr>
              <w:t xml:space="preserve">7.3 </w:t>
            </w:r>
            <w:r w:rsidR="00C3082E" w:rsidRPr="003D74FD">
              <w:rPr>
                <w:rStyle w:val="af2"/>
                <w:rFonts w:ascii="Times New Roman" w:hAnsi="Times New Roman" w:hint="eastAsia"/>
                <w:noProof/>
              </w:rPr>
              <w:t>高碳行业</w:t>
            </w:r>
            <w:r w:rsidR="00C3082E">
              <w:rPr>
                <w:noProof/>
              </w:rPr>
              <w:tab/>
            </w:r>
            <w:r>
              <w:rPr>
                <w:noProof/>
              </w:rPr>
              <w:fldChar w:fldCharType="begin"/>
            </w:r>
            <w:r w:rsidR="00C3082E">
              <w:rPr>
                <w:noProof/>
              </w:rPr>
              <w:instrText xml:space="preserve"> PAGEREF _Toc206595330 \h </w:instrText>
            </w:r>
            <w:r>
              <w:rPr>
                <w:noProof/>
              </w:rPr>
            </w:r>
            <w:r>
              <w:rPr>
                <w:noProof/>
              </w:rPr>
              <w:fldChar w:fldCharType="separate"/>
            </w:r>
            <w:r w:rsidR="00C3082E">
              <w:rPr>
                <w:noProof/>
              </w:rPr>
              <w:t>17</w:t>
            </w:r>
            <w:r>
              <w:rPr>
                <w:noProof/>
              </w:rPr>
              <w:fldChar w:fldCharType="end"/>
            </w:r>
          </w:hyperlink>
        </w:p>
        <w:p w:rsidR="00C3082E" w:rsidRDefault="006E5BF4">
          <w:pPr>
            <w:pStyle w:val="20"/>
            <w:tabs>
              <w:tab w:val="right" w:leader="dot" w:pos="8296"/>
            </w:tabs>
            <w:rPr>
              <w:rFonts w:asciiTheme="minorHAnsi" w:eastAsiaTheme="minorEastAsia" w:hAnsiTheme="minorHAnsi" w:cstheme="minorBidi"/>
              <w:noProof/>
              <w:kern w:val="2"/>
              <w:sz w:val="21"/>
            </w:rPr>
          </w:pPr>
          <w:hyperlink w:anchor="_Toc206595331" w:history="1">
            <w:r w:rsidR="00C3082E" w:rsidRPr="003D74FD">
              <w:rPr>
                <w:rStyle w:val="af2"/>
                <w:rFonts w:ascii="Times New Roman" w:hAnsi="Times New Roman"/>
                <w:noProof/>
              </w:rPr>
              <w:t xml:space="preserve">7.4 </w:t>
            </w:r>
            <w:r w:rsidR="00C3082E" w:rsidRPr="003D74FD">
              <w:rPr>
                <w:rStyle w:val="af2"/>
                <w:rFonts w:ascii="Times New Roman" w:hAnsi="Times New Roman" w:hint="eastAsia"/>
                <w:noProof/>
              </w:rPr>
              <w:t>行业门类</w:t>
            </w:r>
            <w:r w:rsidR="00C3082E">
              <w:rPr>
                <w:noProof/>
              </w:rPr>
              <w:tab/>
            </w:r>
            <w:r>
              <w:rPr>
                <w:noProof/>
              </w:rPr>
              <w:fldChar w:fldCharType="begin"/>
            </w:r>
            <w:r w:rsidR="00C3082E">
              <w:rPr>
                <w:noProof/>
              </w:rPr>
              <w:instrText xml:space="preserve"> PAGEREF _Toc206595331 \h </w:instrText>
            </w:r>
            <w:r>
              <w:rPr>
                <w:noProof/>
              </w:rPr>
            </w:r>
            <w:r>
              <w:rPr>
                <w:noProof/>
              </w:rPr>
              <w:fldChar w:fldCharType="separate"/>
            </w:r>
            <w:r w:rsidR="00C3082E">
              <w:rPr>
                <w:noProof/>
              </w:rPr>
              <w:t>18</w:t>
            </w:r>
            <w:r>
              <w:rPr>
                <w:noProof/>
              </w:rPr>
              <w:fldChar w:fldCharType="end"/>
            </w:r>
          </w:hyperlink>
        </w:p>
        <w:p w:rsidR="00C3082E" w:rsidRDefault="006E5BF4">
          <w:pPr>
            <w:pStyle w:val="10"/>
            <w:tabs>
              <w:tab w:val="right" w:leader="dot" w:pos="8296"/>
            </w:tabs>
            <w:rPr>
              <w:rFonts w:asciiTheme="minorHAnsi" w:eastAsiaTheme="minorEastAsia" w:hAnsiTheme="minorHAnsi" w:cstheme="minorBidi"/>
              <w:noProof/>
              <w:kern w:val="2"/>
              <w:sz w:val="21"/>
            </w:rPr>
          </w:pPr>
          <w:hyperlink w:anchor="_Toc206595332" w:history="1">
            <w:r w:rsidR="00C3082E" w:rsidRPr="003D74FD">
              <w:rPr>
                <w:rStyle w:val="af2"/>
                <w:rFonts w:hint="eastAsia"/>
                <w:noProof/>
              </w:rPr>
              <w:t>第八章</w:t>
            </w:r>
            <w:r w:rsidR="00C3082E" w:rsidRPr="003D74FD">
              <w:rPr>
                <w:rStyle w:val="af2"/>
                <w:noProof/>
              </w:rPr>
              <w:t xml:space="preserve"> </w:t>
            </w:r>
            <w:r w:rsidR="00C3082E" w:rsidRPr="003D74FD">
              <w:rPr>
                <w:rStyle w:val="af2"/>
                <w:rFonts w:hint="eastAsia"/>
                <w:noProof/>
              </w:rPr>
              <w:t>绿色资产的节能减排</w:t>
            </w:r>
            <w:r w:rsidR="00C3082E">
              <w:rPr>
                <w:noProof/>
              </w:rPr>
              <w:tab/>
            </w:r>
            <w:r>
              <w:rPr>
                <w:noProof/>
              </w:rPr>
              <w:fldChar w:fldCharType="begin"/>
            </w:r>
            <w:r w:rsidR="00C3082E">
              <w:rPr>
                <w:noProof/>
              </w:rPr>
              <w:instrText xml:space="preserve"> PAGEREF _Toc206595332 \h </w:instrText>
            </w:r>
            <w:r>
              <w:rPr>
                <w:noProof/>
              </w:rPr>
            </w:r>
            <w:r>
              <w:rPr>
                <w:noProof/>
              </w:rPr>
              <w:fldChar w:fldCharType="separate"/>
            </w:r>
            <w:r w:rsidR="00C3082E">
              <w:rPr>
                <w:noProof/>
              </w:rPr>
              <w:t>20</w:t>
            </w:r>
            <w:r>
              <w:rPr>
                <w:noProof/>
              </w:rPr>
              <w:fldChar w:fldCharType="end"/>
            </w:r>
          </w:hyperlink>
        </w:p>
        <w:p w:rsidR="00C3082E" w:rsidRDefault="006E5BF4">
          <w:pPr>
            <w:pStyle w:val="20"/>
            <w:tabs>
              <w:tab w:val="right" w:leader="dot" w:pos="8296"/>
            </w:tabs>
            <w:rPr>
              <w:rFonts w:asciiTheme="minorHAnsi" w:eastAsiaTheme="minorEastAsia" w:hAnsiTheme="minorHAnsi" w:cstheme="minorBidi"/>
              <w:noProof/>
              <w:kern w:val="2"/>
              <w:sz w:val="21"/>
            </w:rPr>
          </w:pPr>
          <w:hyperlink w:anchor="_Toc206595333" w:history="1">
            <w:r w:rsidR="00C3082E" w:rsidRPr="003D74FD">
              <w:rPr>
                <w:rStyle w:val="af2"/>
                <w:rFonts w:ascii="Times New Roman" w:hAnsi="Times New Roman"/>
                <w:noProof/>
              </w:rPr>
              <w:t xml:space="preserve">8.1 </w:t>
            </w:r>
            <w:r w:rsidR="00C3082E" w:rsidRPr="003D74FD">
              <w:rPr>
                <w:rStyle w:val="af2"/>
                <w:rFonts w:ascii="Times New Roman" w:hAnsi="Times New Roman" w:hint="eastAsia"/>
                <w:noProof/>
              </w:rPr>
              <w:t>绿色产业</w:t>
            </w:r>
            <w:r w:rsidR="00C3082E">
              <w:rPr>
                <w:noProof/>
              </w:rPr>
              <w:tab/>
            </w:r>
            <w:r>
              <w:rPr>
                <w:noProof/>
              </w:rPr>
              <w:fldChar w:fldCharType="begin"/>
            </w:r>
            <w:r w:rsidR="00C3082E">
              <w:rPr>
                <w:noProof/>
              </w:rPr>
              <w:instrText xml:space="preserve"> PAGEREF _Toc206595333 \h </w:instrText>
            </w:r>
            <w:r>
              <w:rPr>
                <w:noProof/>
              </w:rPr>
            </w:r>
            <w:r>
              <w:rPr>
                <w:noProof/>
              </w:rPr>
              <w:fldChar w:fldCharType="separate"/>
            </w:r>
            <w:r w:rsidR="00C3082E">
              <w:rPr>
                <w:noProof/>
              </w:rPr>
              <w:t>20</w:t>
            </w:r>
            <w:r>
              <w:rPr>
                <w:noProof/>
              </w:rPr>
              <w:fldChar w:fldCharType="end"/>
            </w:r>
          </w:hyperlink>
        </w:p>
        <w:p w:rsidR="00C3082E" w:rsidRDefault="006E5BF4">
          <w:pPr>
            <w:pStyle w:val="10"/>
            <w:tabs>
              <w:tab w:val="right" w:leader="dot" w:pos="8296"/>
            </w:tabs>
            <w:rPr>
              <w:rFonts w:asciiTheme="minorHAnsi" w:eastAsiaTheme="minorEastAsia" w:hAnsiTheme="minorHAnsi" w:cstheme="minorBidi"/>
              <w:noProof/>
              <w:kern w:val="2"/>
              <w:sz w:val="21"/>
            </w:rPr>
          </w:pPr>
          <w:hyperlink w:anchor="_Toc206595334" w:history="1">
            <w:r w:rsidR="00C3082E" w:rsidRPr="003D74FD">
              <w:rPr>
                <w:rStyle w:val="af2"/>
                <w:rFonts w:hint="eastAsia"/>
                <w:noProof/>
              </w:rPr>
              <w:t>第九章</w:t>
            </w:r>
            <w:r w:rsidR="00C3082E" w:rsidRPr="003D74FD">
              <w:rPr>
                <w:rStyle w:val="af2"/>
                <w:noProof/>
              </w:rPr>
              <w:t xml:space="preserve"> </w:t>
            </w:r>
            <w:r w:rsidR="00C3082E" w:rsidRPr="003D74FD">
              <w:rPr>
                <w:rStyle w:val="af2"/>
                <w:rFonts w:hint="eastAsia"/>
                <w:noProof/>
              </w:rPr>
              <w:t>创新及研究</w:t>
            </w:r>
            <w:r w:rsidR="00C3082E">
              <w:rPr>
                <w:noProof/>
              </w:rPr>
              <w:tab/>
            </w:r>
            <w:r>
              <w:rPr>
                <w:noProof/>
              </w:rPr>
              <w:fldChar w:fldCharType="begin"/>
            </w:r>
            <w:r w:rsidR="00C3082E">
              <w:rPr>
                <w:noProof/>
              </w:rPr>
              <w:instrText xml:space="preserve"> PAGEREF _Toc206595334 \h </w:instrText>
            </w:r>
            <w:r>
              <w:rPr>
                <w:noProof/>
              </w:rPr>
            </w:r>
            <w:r>
              <w:rPr>
                <w:noProof/>
              </w:rPr>
              <w:fldChar w:fldCharType="separate"/>
            </w:r>
            <w:r w:rsidR="00C3082E">
              <w:rPr>
                <w:noProof/>
              </w:rPr>
              <w:t>21</w:t>
            </w:r>
            <w:r>
              <w:rPr>
                <w:noProof/>
              </w:rPr>
              <w:fldChar w:fldCharType="end"/>
            </w:r>
          </w:hyperlink>
        </w:p>
        <w:p w:rsidR="00C3082E" w:rsidRDefault="006E5BF4">
          <w:pPr>
            <w:pStyle w:val="20"/>
            <w:tabs>
              <w:tab w:val="right" w:leader="dot" w:pos="8296"/>
            </w:tabs>
            <w:rPr>
              <w:rFonts w:asciiTheme="minorHAnsi" w:eastAsiaTheme="minorEastAsia" w:hAnsiTheme="minorHAnsi" w:cstheme="minorBidi"/>
              <w:noProof/>
              <w:kern w:val="2"/>
              <w:sz w:val="21"/>
            </w:rPr>
          </w:pPr>
          <w:hyperlink w:anchor="_Toc206595335" w:history="1">
            <w:r w:rsidR="00C3082E" w:rsidRPr="003D74FD">
              <w:rPr>
                <w:rStyle w:val="af2"/>
                <w:rFonts w:ascii="Times New Roman" w:hAnsi="Times New Roman"/>
                <w:noProof/>
              </w:rPr>
              <w:t xml:space="preserve">9.1 </w:t>
            </w:r>
            <w:r w:rsidR="00C3082E" w:rsidRPr="003D74FD">
              <w:rPr>
                <w:rStyle w:val="af2"/>
                <w:rFonts w:ascii="Times New Roman" w:hAnsi="Times New Roman" w:hint="eastAsia"/>
                <w:noProof/>
              </w:rPr>
              <w:t>绿色金融创新实践案例</w:t>
            </w:r>
            <w:r w:rsidR="00C3082E">
              <w:rPr>
                <w:noProof/>
              </w:rPr>
              <w:tab/>
            </w:r>
            <w:r>
              <w:rPr>
                <w:noProof/>
              </w:rPr>
              <w:fldChar w:fldCharType="begin"/>
            </w:r>
            <w:r w:rsidR="00C3082E">
              <w:rPr>
                <w:noProof/>
              </w:rPr>
              <w:instrText xml:space="preserve"> PAGEREF _Toc206595335 \h </w:instrText>
            </w:r>
            <w:r>
              <w:rPr>
                <w:noProof/>
              </w:rPr>
            </w:r>
            <w:r>
              <w:rPr>
                <w:noProof/>
              </w:rPr>
              <w:fldChar w:fldCharType="separate"/>
            </w:r>
            <w:r w:rsidR="00C3082E">
              <w:rPr>
                <w:noProof/>
              </w:rPr>
              <w:t>21</w:t>
            </w:r>
            <w:r>
              <w:rPr>
                <w:noProof/>
              </w:rPr>
              <w:fldChar w:fldCharType="end"/>
            </w:r>
          </w:hyperlink>
        </w:p>
        <w:p w:rsidR="00C3082E" w:rsidRDefault="006E5BF4">
          <w:pPr>
            <w:pStyle w:val="20"/>
            <w:tabs>
              <w:tab w:val="right" w:leader="dot" w:pos="8296"/>
            </w:tabs>
            <w:rPr>
              <w:rFonts w:asciiTheme="minorHAnsi" w:eastAsiaTheme="minorEastAsia" w:hAnsiTheme="minorHAnsi" w:cstheme="minorBidi"/>
              <w:noProof/>
              <w:kern w:val="2"/>
              <w:sz w:val="21"/>
            </w:rPr>
          </w:pPr>
          <w:hyperlink w:anchor="_Toc206595336" w:history="1">
            <w:r w:rsidR="00C3082E" w:rsidRPr="003D74FD">
              <w:rPr>
                <w:rStyle w:val="af2"/>
                <w:rFonts w:ascii="Times New Roman" w:hAnsi="Times New Roman"/>
                <w:noProof/>
              </w:rPr>
              <w:t xml:space="preserve">9.2 </w:t>
            </w:r>
            <w:r w:rsidR="00C3082E" w:rsidRPr="003D74FD">
              <w:rPr>
                <w:rStyle w:val="af2"/>
                <w:rFonts w:ascii="Times New Roman" w:hAnsi="Times New Roman" w:hint="eastAsia"/>
                <w:noProof/>
              </w:rPr>
              <w:t>绿色金融研究</w:t>
            </w:r>
            <w:r w:rsidR="00C3082E">
              <w:rPr>
                <w:noProof/>
              </w:rPr>
              <w:tab/>
            </w:r>
            <w:r>
              <w:rPr>
                <w:noProof/>
              </w:rPr>
              <w:fldChar w:fldCharType="begin"/>
            </w:r>
            <w:r w:rsidR="00C3082E">
              <w:rPr>
                <w:noProof/>
              </w:rPr>
              <w:instrText xml:space="preserve"> PAGEREF _Toc206595336 \h </w:instrText>
            </w:r>
            <w:r>
              <w:rPr>
                <w:noProof/>
              </w:rPr>
            </w:r>
            <w:r>
              <w:rPr>
                <w:noProof/>
              </w:rPr>
              <w:fldChar w:fldCharType="separate"/>
            </w:r>
            <w:r w:rsidR="00C3082E">
              <w:rPr>
                <w:noProof/>
              </w:rPr>
              <w:t>21</w:t>
            </w:r>
            <w:r>
              <w:rPr>
                <w:noProof/>
              </w:rPr>
              <w:fldChar w:fldCharType="end"/>
            </w:r>
          </w:hyperlink>
        </w:p>
        <w:p w:rsidR="00C3082E" w:rsidRDefault="006E5BF4">
          <w:pPr>
            <w:pStyle w:val="10"/>
            <w:tabs>
              <w:tab w:val="right" w:leader="dot" w:pos="8296"/>
            </w:tabs>
            <w:rPr>
              <w:rFonts w:asciiTheme="minorHAnsi" w:eastAsiaTheme="minorEastAsia" w:hAnsiTheme="minorHAnsi" w:cstheme="minorBidi"/>
              <w:noProof/>
              <w:kern w:val="2"/>
              <w:sz w:val="21"/>
            </w:rPr>
          </w:pPr>
          <w:hyperlink w:anchor="_Toc206595337" w:history="1">
            <w:r w:rsidR="00C3082E" w:rsidRPr="003D74FD">
              <w:rPr>
                <w:rStyle w:val="af2"/>
                <w:rFonts w:hint="eastAsia"/>
                <w:bCs/>
                <w:noProof/>
              </w:rPr>
              <w:t>第十章</w:t>
            </w:r>
            <w:r w:rsidR="00C3082E" w:rsidRPr="003D74FD">
              <w:rPr>
                <w:rStyle w:val="af2"/>
                <w:bCs/>
                <w:noProof/>
              </w:rPr>
              <w:t xml:space="preserve"> </w:t>
            </w:r>
            <w:r w:rsidR="00C3082E" w:rsidRPr="003D74FD">
              <w:rPr>
                <w:rStyle w:val="af2"/>
                <w:rFonts w:hint="eastAsia"/>
                <w:bCs/>
                <w:noProof/>
              </w:rPr>
              <w:t>数据质量管理</w:t>
            </w:r>
            <w:r w:rsidR="00C3082E">
              <w:rPr>
                <w:noProof/>
              </w:rPr>
              <w:tab/>
            </w:r>
            <w:r>
              <w:rPr>
                <w:noProof/>
              </w:rPr>
              <w:fldChar w:fldCharType="begin"/>
            </w:r>
            <w:r w:rsidR="00C3082E">
              <w:rPr>
                <w:noProof/>
              </w:rPr>
              <w:instrText xml:space="preserve"> PAGEREF _Toc206595337 \h </w:instrText>
            </w:r>
            <w:r>
              <w:rPr>
                <w:noProof/>
              </w:rPr>
            </w:r>
            <w:r>
              <w:rPr>
                <w:noProof/>
              </w:rPr>
              <w:fldChar w:fldCharType="separate"/>
            </w:r>
            <w:r w:rsidR="00C3082E">
              <w:rPr>
                <w:noProof/>
              </w:rPr>
              <w:t>23</w:t>
            </w:r>
            <w:r>
              <w:rPr>
                <w:noProof/>
              </w:rPr>
              <w:fldChar w:fldCharType="end"/>
            </w:r>
          </w:hyperlink>
        </w:p>
        <w:p w:rsidR="00C3082E" w:rsidRDefault="006E5BF4">
          <w:pPr>
            <w:pStyle w:val="20"/>
            <w:tabs>
              <w:tab w:val="right" w:leader="dot" w:pos="8296"/>
            </w:tabs>
            <w:rPr>
              <w:rFonts w:asciiTheme="minorHAnsi" w:eastAsiaTheme="minorEastAsia" w:hAnsiTheme="minorHAnsi" w:cstheme="minorBidi"/>
              <w:noProof/>
              <w:kern w:val="2"/>
              <w:sz w:val="21"/>
            </w:rPr>
          </w:pPr>
          <w:hyperlink w:anchor="_Toc206595338" w:history="1">
            <w:r w:rsidR="00C3082E" w:rsidRPr="003D74FD">
              <w:rPr>
                <w:rStyle w:val="af2"/>
                <w:rFonts w:ascii="Times New Roman" w:hAnsi="Times New Roman"/>
                <w:noProof/>
              </w:rPr>
              <w:t xml:space="preserve">10.1 </w:t>
            </w:r>
            <w:r w:rsidR="00C3082E" w:rsidRPr="003D74FD">
              <w:rPr>
                <w:rStyle w:val="af2"/>
                <w:rFonts w:ascii="Times New Roman" w:hAnsi="Times New Roman" w:hint="eastAsia"/>
                <w:noProof/>
              </w:rPr>
              <w:t>数据梳理、校验及保护</w:t>
            </w:r>
            <w:r w:rsidR="00C3082E">
              <w:rPr>
                <w:noProof/>
              </w:rPr>
              <w:tab/>
            </w:r>
            <w:r>
              <w:rPr>
                <w:noProof/>
              </w:rPr>
              <w:fldChar w:fldCharType="begin"/>
            </w:r>
            <w:r w:rsidR="00C3082E">
              <w:rPr>
                <w:noProof/>
              </w:rPr>
              <w:instrText xml:space="preserve"> PAGEREF _Toc206595338 \h </w:instrText>
            </w:r>
            <w:r>
              <w:rPr>
                <w:noProof/>
              </w:rPr>
            </w:r>
            <w:r>
              <w:rPr>
                <w:noProof/>
              </w:rPr>
              <w:fldChar w:fldCharType="separate"/>
            </w:r>
            <w:r w:rsidR="00C3082E">
              <w:rPr>
                <w:noProof/>
              </w:rPr>
              <w:t>23</w:t>
            </w:r>
            <w:r>
              <w:rPr>
                <w:noProof/>
              </w:rPr>
              <w:fldChar w:fldCharType="end"/>
            </w:r>
          </w:hyperlink>
        </w:p>
        <w:p w:rsidR="00C3082E" w:rsidRDefault="006E5BF4">
          <w:pPr>
            <w:pStyle w:val="20"/>
            <w:tabs>
              <w:tab w:val="right" w:leader="dot" w:pos="8296"/>
            </w:tabs>
            <w:rPr>
              <w:rFonts w:asciiTheme="minorHAnsi" w:eastAsiaTheme="minorEastAsia" w:hAnsiTheme="minorHAnsi" w:cstheme="minorBidi"/>
              <w:noProof/>
              <w:kern w:val="2"/>
              <w:sz w:val="21"/>
            </w:rPr>
          </w:pPr>
          <w:hyperlink w:anchor="_Toc206595339" w:history="1">
            <w:r w:rsidR="00C3082E" w:rsidRPr="003D74FD">
              <w:rPr>
                <w:rStyle w:val="af2"/>
                <w:rFonts w:ascii="Times New Roman" w:hAnsi="Times New Roman"/>
                <w:noProof/>
              </w:rPr>
              <w:t xml:space="preserve">10.2 </w:t>
            </w:r>
            <w:r w:rsidR="00C3082E" w:rsidRPr="003D74FD">
              <w:rPr>
                <w:rStyle w:val="af2"/>
                <w:rFonts w:ascii="Times New Roman" w:hAnsi="Times New Roman" w:hint="eastAsia"/>
                <w:noProof/>
              </w:rPr>
              <w:t>碳排放数据质量管理</w:t>
            </w:r>
            <w:r w:rsidR="00C3082E">
              <w:rPr>
                <w:noProof/>
              </w:rPr>
              <w:tab/>
            </w:r>
            <w:r>
              <w:rPr>
                <w:noProof/>
              </w:rPr>
              <w:fldChar w:fldCharType="begin"/>
            </w:r>
            <w:r w:rsidR="00C3082E">
              <w:rPr>
                <w:noProof/>
              </w:rPr>
              <w:instrText xml:space="preserve"> PAGEREF _Toc206595339 \h </w:instrText>
            </w:r>
            <w:r>
              <w:rPr>
                <w:noProof/>
              </w:rPr>
            </w:r>
            <w:r>
              <w:rPr>
                <w:noProof/>
              </w:rPr>
              <w:fldChar w:fldCharType="separate"/>
            </w:r>
            <w:r w:rsidR="00C3082E">
              <w:rPr>
                <w:noProof/>
              </w:rPr>
              <w:t>24</w:t>
            </w:r>
            <w:r>
              <w:rPr>
                <w:noProof/>
              </w:rPr>
              <w:fldChar w:fldCharType="end"/>
            </w:r>
          </w:hyperlink>
        </w:p>
        <w:p w:rsidR="00EE0247" w:rsidRDefault="006E5BF4">
          <w:pPr>
            <w:pStyle w:val="2"/>
            <w:rPr>
              <w:rFonts w:ascii="Times New Roman" w:eastAsia="黑体" w:hAnsi="Times New Roman" w:hint="default"/>
              <w:color w:val="000000" w:themeColor="text1"/>
              <w:kern w:val="2"/>
              <w:lang w:val="zh-CN"/>
            </w:rPr>
          </w:pPr>
          <w:r>
            <w:rPr>
              <w:rFonts w:ascii="Times New Roman" w:eastAsia="黑体" w:hAnsi="Times New Roman" w:hint="default"/>
              <w:color w:val="000000" w:themeColor="text1"/>
              <w:kern w:val="2"/>
              <w:lang w:val="zh-CN"/>
            </w:rPr>
            <w:fldChar w:fldCharType="end"/>
          </w:r>
        </w:p>
      </w:sdtContent>
    </w:sdt>
    <w:p w:rsidR="00EE0247" w:rsidRDefault="00EE0247" w:rsidP="00D241E6">
      <w:pPr>
        <w:widowControl/>
        <w:kinsoku w:val="0"/>
        <w:autoSpaceDE w:val="0"/>
        <w:autoSpaceDN w:val="0"/>
        <w:adjustRightInd w:val="0"/>
        <w:snapToGrid w:val="0"/>
        <w:spacing w:beforeLines="50" w:line="240" w:lineRule="auto"/>
        <w:ind w:firstLineChars="0" w:firstLine="0"/>
        <w:textAlignment w:val="baseline"/>
        <w:rPr>
          <w:rStyle w:val="af2"/>
          <w:rFonts w:eastAsia="微软雅黑" w:cs="Times New Roman"/>
          <w:b/>
          <w:snapToGrid w:val="0"/>
          <w:color w:val="000000" w:themeColor="text1"/>
          <w:spacing w:val="8"/>
          <w:sz w:val="28"/>
          <w:szCs w:val="28"/>
          <w:lang w:val="zh-CN"/>
        </w:rPr>
      </w:pPr>
    </w:p>
    <w:p w:rsidR="00EE0247" w:rsidRDefault="007240D0">
      <w:pPr>
        <w:pStyle w:val="20"/>
        <w:tabs>
          <w:tab w:val="right" w:leader="dot" w:pos="9897"/>
        </w:tabs>
        <w:adjustRightInd w:val="0"/>
        <w:snapToGrid w:val="0"/>
        <w:spacing w:line="240" w:lineRule="auto"/>
        <w:rPr>
          <w:rFonts w:ascii="Times New Roman" w:hAnsi="Times New Roman"/>
          <w:color w:val="000000" w:themeColor="text1"/>
        </w:rPr>
      </w:pPr>
      <w:r>
        <w:rPr>
          <w:rFonts w:ascii="Times New Roman" w:eastAsia="仿宋" w:hAnsi="Times New Roman"/>
          <w:b/>
          <w:bCs/>
          <w:color w:val="000000" w:themeColor="text1"/>
          <w:sz w:val="28"/>
          <w:szCs w:val="28"/>
          <w:lang w:val="zh-CN"/>
        </w:rPr>
        <w:br w:type="page"/>
      </w:r>
      <w:bookmarkStart w:id="0" w:name="_Toc146469063"/>
    </w:p>
    <w:bookmarkEnd w:id="0"/>
    <w:p w:rsidR="00EE0247" w:rsidRDefault="00EE0247">
      <w:pPr>
        <w:pStyle w:val="20"/>
        <w:numPr>
          <w:ilvl w:val="0"/>
          <w:numId w:val="6"/>
        </w:numPr>
        <w:tabs>
          <w:tab w:val="right" w:leader="dot" w:pos="9897"/>
        </w:tabs>
        <w:adjustRightInd w:val="0"/>
        <w:snapToGrid w:val="0"/>
        <w:spacing w:line="240" w:lineRule="auto"/>
        <w:ind w:left="0"/>
        <w:jc w:val="center"/>
        <w:rPr>
          <w:rFonts w:ascii="Times New Roman" w:eastAsia="微软雅黑" w:hAnsi="Times New Roman"/>
          <w:b/>
          <w:bCs/>
          <w:color w:val="000000" w:themeColor="text1"/>
          <w:kern w:val="2"/>
          <w:sz w:val="32"/>
          <w:szCs w:val="32"/>
        </w:rPr>
        <w:sectPr w:rsidR="00EE0247">
          <w:headerReference w:type="even" r:id="rId14"/>
          <w:headerReference w:type="default" r:id="rId15"/>
          <w:footerReference w:type="even" r:id="rId16"/>
          <w:footerReference w:type="default" r:id="rId17"/>
          <w:headerReference w:type="first" r:id="rId18"/>
          <w:footerReference w:type="first" r:id="rId19"/>
          <w:pgSz w:w="11906" w:h="16838"/>
          <w:pgMar w:top="1440" w:right="1800" w:bottom="1440" w:left="1800" w:header="851" w:footer="992" w:gutter="0"/>
          <w:pgNumType w:start="0"/>
          <w:cols w:space="720"/>
          <w:titlePg/>
          <w:docGrid w:type="lines" w:linePitch="435"/>
        </w:sectPr>
      </w:pPr>
    </w:p>
    <w:p w:rsidR="00EE0247" w:rsidRDefault="007240D0">
      <w:pPr>
        <w:pStyle w:val="1"/>
        <w:rPr>
          <w:rFonts w:cs="Times New Roman"/>
        </w:rPr>
      </w:pPr>
      <w:bookmarkStart w:id="1" w:name="_Toc206595302"/>
      <w:r>
        <w:rPr>
          <w:rFonts w:cs="Times New Roman"/>
        </w:rPr>
        <w:lastRenderedPageBreak/>
        <w:t>第一章</w:t>
      </w:r>
      <w:r>
        <w:rPr>
          <w:rFonts w:cs="Times New Roman"/>
        </w:rPr>
        <w:t xml:space="preserve"> </w:t>
      </w:r>
      <w:r>
        <w:rPr>
          <w:rFonts w:cs="Times New Roman"/>
        </w:rPr>
        <w:t>披露主体</w:t>
      </w:r>
      <w:bookmarkEnd w:id="1"/>
    </w:p>
    <w:p w:rsidR="00EE0247" w:rsidRDefault="007240D0">
      <w:pPr>
        <w:pStyle w:val="2"/>
        <w:rPr>
          <w:rFonts w:ascii="Times New Roman" w:hAnsi="Times New Roman" w:hint="default"/>
        </w:rPr>
      </w:pPr>
      <w:bookmarkStart w:id="2" w:name="_Toc206595303"/>
      <w:r>
        <w:rPr>
          <w:rFonts w:ascii="Times New Roman" w:hAnsi="Times New Roman" w:hint="default"/>
        </w:rPr>
        <w:t xml:space="preserve">1.1 </w:t>
      </w:r>
      <w:r>
        <w:rPr>
          <w:rFonts w:ascii="Times New Roman" w:hAnsi="Times New Roman" w:hint="default"/>
        </w:rPr>
        <w:t>编制说明</w:t>
      </w:r>
      <w:bookmarkEnd w:id="2"/>
    </w:p>
    <w:p w:rsidR="00EE0247" w:rsidRDefault="007240D0" w:rsidP="00D241E6">
      <w:pPr>
        <w:widowControl/>
        <w:kinsoku w:val="0"/>
        <w:autoSpaceDE w:val="0"/>
        <w:autoSpaceDN w:val="0"/>
        <w:adjustRightInd w:val="0"/>
        <w:snapToGrid w:val="0"/>
        <w:spacing w:beforeLines="50" w:line="240" w:lineRule="auto"/>
        <w:ind w:firstLine="480"/>
        <w:textAlignment w:val="baseline"/>
        <w:rPr>
          <w:rFonts w:eastAsia="黑体" w:cs="Times New Roman"/>
          <w:color w:val="000000" w:themeColor="text1"/>
          <w:sz w:val="24"/>
          <w:szCs w:val="24"/>
        </w:rPr>
      </w:pPr>
      <w:r>
        <w:rPr>
          <w:rFonts w:eastAsia="黑体" w:cs="Times New Roman"/>
          <w:color w:val="000000" w:themeColor="text1"/>
          <w:sz w:val="24"/>
          <w:szCs w:val="24"/>
        </w:rPr>
        <w:t xml:space="preserve">1.1.1 </w:t>
      </w:r>
      <w:r>
        <w:rPr>
          <w:rFonts w:eastAsia="黑体" w:cs="Times New Roman"/>
          <w:color w:val="000000" w:themeColor="text1"/>
          <w:sz w:val="24"/>
          <w:szCs w:val="24"/>
        </w:rPr>
        <w:t>关于本报告</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本报告是江苏</w:t>
      </w:r>
      <w:r>
        <w:rPr>
          <w:rFonts w:eastAsia="仿宋" w:cs="Times New Roman" w:hint="eastAsia"/>
          <w:snapToGrid w:val="0"/>
          <w:color w:val="000000" w:themeColor="text1"/>
          <w:spacing w:val="6"/>
          <w:kern w:val="0"/>
          <w:sz w:val="24"/>
          <w:szCs w:val="24"/>
        </w:rPr>
        <w:t>句容</w:t>
      </w:r>
      <w:r>
        <w:rPr>
          <w:rFonts w:eastAsia="仿宋" w:cs="Times New Roman"/>
          <w:snapToGrid w:val="0"/>
          <w:color w:val="000000" w:themeColor="text1"/>
          <w:spacing w:val="6"/>
          <w:kern w:val="0"/>
          <w:sz w:val="24"/>
          <w:szCs w:val="24"/>
        </w:rPr>
        <w:t>农村商业</w:t>
      </w:r>
      <w:r>
        <w:rPr>
          <w:rFonts w:eastAsia="仿宋" w:cs="Times New Roman"/>
          <w:color w:val="000000" w:themeColor="text1"/>
          <w:spacing w:val="6"/>
          <w:sz w:val="24"/>
        </w:rPr>
        <w:t>银行股份有限公司（以下简称</w:t>
      </w:r>
      <w:r>
        <w:rPr>
          <w:rFonts w:eastAsia="仿宋" w:cs="Times New Roman"/>
          <w:color w:val="000000" w:themeColor="text1"/>
          <w:spacing w:val="6"/>
          <w:sz w:val="24"/>
        </w:rPr>
        <w:t>“</w:t>
      </w:r>
      <w:r>
        <w:rPr>
          <w:rFonts w:eastAsia="仿宋" w:cs="Times New Roman" w:hint="eastAsia"/>
          <w:color w:val="000000" w:themeColor="text1"/>
          <w:spacing w:val="6"/>
          <w:sz w:val="24"/>
        </w:rPr>
        <w:t>句容</w:t>
      </w:r>
      <w:r>
        <w:rPr>
          <w:rFonts w:eastAsia="仿宋" w:cs="Times New Roman"/>
          <w:color w:val="000000" w:themeColor="text1"/>
          <w:spacing w:val="6"/>
          <w:sz w:val="24"/>
        </w:rPr>
        <w:t>农商银行</w:t>
      </w:r>
      <w:r>
        <w:rPr>
          <w:rFonts w:eastAsia="仿宋" w:cs="Times New Roman"/>
          <w:color w:val="000000" w:themeColor="text1"/>
          <w:spacing w:val="6"/>
          <w:sz w:val="24"/>
        </w:rPr>
        <w:t>”“</w:t>
      </w:r>
      <w:r>
        <w:rPr>
          <w:rFonts w:eastAsia="仿宋" w:cs="Times New Roman"/>
          <w:color w:val="000000" w:themeColor="text1"/>
          <w:spacing w:val="6"/>
          <w:sz w:val="24"/>
        </w:rPr>
        <w:t>本行</w:t>
      </w:r>
      <w:r>
        <w:rPr>
          <w:rFonts w:eastAsia="仿宋" w:cs="Times New Roman"/>
          <w:color w:val="000000" w:themeColor="text1"/>
          <w:spacing w:val="6"/>
          <w:sz w:val="24"/>
        </w:rPr>
        <w:t>”“</w:t>
      </w:r>
      <w:r>
        <w:rPr>
          <w:rFonts w:eastAsia="仿宋" w:cs="Times New Roman"/>
          <w:color w:val="000000" w:themeColor="text1"/>
          <w:spacing w:val="6"/>
          <w:sz w:val="24"/>
        </w:rPr>
        <w:t>我行</w:t>
      </w:r>
      <w:r>
        <w:rPr>
          <w:rFonts w:eastAsia="仿宋" w:cs="Times New Roman"/>
          <w:color w:val="000000" w:themeColor="text1"/>
          <w:spacing w:val="6"/>
          <w:sz w:val="24"/>
        </w:rPr>
        <w:t>”</w:t>
      </w:r>
      <w:r>
        <w:rPr>
          <w:rFonts w:eastAsia="仿宋" w:cs="Times New Roman"/>
          <w:color w:val="000000" w:themeColor="text1"/>
          <w:spacing w:val="6"/>
          <w:sz w:val="24"/>
        </w:rPr>
        <w:t>）单独发布的环境信息披露报告。本报告阐述了本行</w:t>
      </w:r>
      <w:r>
        <w:rPr>
          <w:rFonts w:eastAsia="仿宋" w:cs="Times New Roman"/>
          <w:color w:val="000000" w:themeColor="text1"/>
          <w:spacing w:val="6"/>
          <w:sz w:val="24"/>
        </w:rPr>
        <w:t>2024</w:t>
      </w:r>
      <w:r>
        <w:rPr>
          <w:rFonts w:eastAsia="仿宋" w:cs="Times New Roman"/>
          <w:color w:val="000000" w:themeColor="text1"/>
          <w:spacing w:val="6"/>
          <w:sz w:val="24"/>
        </w:rPr>
        <w:t>年度在环境信息披露方面的主要工作和成效，回应监管机构和各利益相关方的期望与关注，全面展示本行在环境信息披露方面的积极态度与行动。</w:t>
      </w:r>
    </w:p>
    <w:p w:rsidR="00EE0247" w:rsidRDefault="007240D0" w:rsidP="00D241E6">
      <w:pPr>
        <w:widowControl/>
        <w:kinsoku w:val="0"/>
        <w:autoSpaceDE w:val="0"/>
        <w:autoSpaceDN w:val="0"/>
        <w:adjustRightInd w:val="0"/>
        <w:snapToGrid w:val="0"/>
        <w:spacing w:beforeLines="50" w:line="240" w:lineRule="auto"/>
        <w:ind w:firstLine="480"/>
        <w:textAlignment w:val="baseline"/>
        <w:rPr>
          <w:rFonts w:eastAsia="黑体" w:cs="Times New Roman"/>
          <w:color w:val="000000" w:themeColor="text1"/>
          <w:sz w:val="24"/>
          <w:szCs w:val="24"/>
        </w:rPr>
      </w:pPr>
      <w:r>
        <w:rPr>
          <w:rFonts w:eastAsia="黑体" w:cs="Times New Roman"/>
          <w:color w:val="000000" w:themeColor="text1"/>
          <w:sz w:val="24"/>
          <w:szCs w:val="24"/>
        </w:rPr>
        <w:t xml:space="preserve">1.1.2 </w:t>
      </w:r>
      <w:r>
        <w:rPr>
          <w:rFonts w:eastAsia="黑体" w:cs="Times New Roman"/>
          <w:color w:val="000000" w:themeColor="text1"/>
          <w:sz w:val="24"/>
          <w:szCs w:val="24"/>
        </w:rPr>
        <w:t>报告范围</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本报告为年度报告。时间范围涵盖</w:t>
      </w:r>
      <w:r>
        <w:rPr>
          <w:rFonts w:eastAsia="仿宋" w:cs="Times New Roman"/>
          <w:snapToGrid w:val="0"/>
          <w:color w:val="000000" w:themeColor="text1"/>
          <w:spacing w:val="6"/>
          <w:kern w:val="0"/>
          <w:sz w:val="24"/>
          <w:szCs w:val="24"/>
        </w:rPr>
        <w:t>2024</w:t>
      </w:r>
      <w:r>
        <w:rPr>
          <w:rFonts w:eastAsia="仿宋" w:cs="Times New Roman"/>
          <w:snapToGrid w:val="0"/>
          <w:color w:val="000000" w:themeColor="text1"/>
          <w:spacing w:val="6"/>
          <w:kern w:val="0"/>
          <w:sz w:val="24"/>
          <w:szCs w:val="24"/>
        </w:rPr>
        <w:t>年</w:t>
      </w:r>
      <w:r>
        <w:rPr>
          <w:rFonts w:eastAsia="仿宋" w:cs="Times New Roman"/>
          <w:snapToGrid w:val="0"/>
          <w:color w:val="000000" w:themeColor="text1"/>
          <w:spacing w:val="6"/>
          <w:kern w:val="0"/>
          <w:sz w:val="24"/>
          <w:szCs w:val="24"/>
        </w:rPr>
        <w:t>01</w:t>
      </w:r>
      <w:r>
        <w:rPr>
          <w:rFonts w:eastAsia="仿宋" w:cs="Times New Roman"/>
          <w:snapToGrid w:val="0"/>
          <w:color w:val="000000" w:themeColor="text1"/>
          <w:spacing w:val="6"/>
          <w:kern w:val="0"/>
          <w:sz w:val="24"/>
          <w:szCs w:val="24"/>
        </w:rPr>
        <w:t>月</w:t>
      </w:r>
      <w:r>
        <w:rPr>
          <w:rFonts w:eastAsia="仿宋" w:cs="Times New Roman"/>
          <w:snapToGrid w:val="0"/>
          <w:color w:val="000000" w:themeColor="text1"/>
          <w:spacing w:val="6"/>
          <w:kern w:val="0"/>
          <w:sz w:val="24"/>
          <w:szCs w:val="24"/>
        </w:rPr>
        <w:t>01</w:t>
      </w:r>
      <w:r>
        <w:rPr>
          <w:rFonts w:eastAsia="仿宋" w:cs="Times New Roman"/>
          <w:snapToGrid w:val="0"/>
          <w:color w:val="000000" w:themeColor="text1"/>
          <w:spacing w:val="6"/>
          <w:kern w:val="0"/>
          <w:sz w:val="24"/>
          <w:szCs w:val="24"/>
        </w:rPr>
        <w:t>日至</w:t>
      </w:r>
      <w:r>
        <w:rPr>
          <w:rFonts w:eastAsia="仿宋" w:cs="Times New Roman"/>
          <w:snapToGrid w:val="0"/>
          <w:color w:val="000000" w:themeColor="text1"/>
          <w:spacing w:val="6"/>
          <w:kern w:val="0"/>
          <w:sz w:val="24"/>
          <w:szCs w:val="24"/>
        </w:rPr>
        <w:t>2024</w:t>
      </w:r>
      <w:r>
        <w:rPr>
          <w:rFonts w:eastAsia="仿宋" w:cs="Times New Roman"/>
          <w:snapToGrid w:val="0"/>
          <w:color w:val="000000" w:themeColor="text1"/>
          <w:spacing w:val="6"/>
          <w:kern w:val="0"/>
          <w:sz w:val="24"/>
          <w:szCs w:val="24"/>
        </w:rPr>
        <w:t>年</w:t>
      </w:r>
      <w:r>
        <w:rPr>
          <w:rFonts w:eastAsia="仿宋" w:cs="Times New Roman"/>
          <w:snapToGrid w:val="0"/>
          <w:color w:val="000000" w:themeColor="text1"/>
          <w:spacing w:val="6"/>
          <w:kern w:val="0"/>
          <w:sz w:val="24"/>
          <w:szCs w:val="24"/>
        </w:rPr>
        <w:t>12</w:t>
      </w:r>
      <w:r>
        <w:rPr>
          <w:rFonts w:eastAsia="仿宋" w:cs="Times New Roman"/>
          <w:snapToGrid w:val="0"/>
          <w:color w:val="000000" w:themeColor="text1"/>
          <w:spacing w:val="6"/>
          <w:kern w:val="0"/>
          <w:sz w:val="24"/>
          <w:szCs w:val="24"/>
        </w:rPr>
        <w:t>月</w:t>
      </w:r>
      <w:r>
        <w:rPr>
          <w:rFonts w:eastAsia="仿宋" w:cs="Times New Roman"/>
          <w:snapToGrid w:val="0"/>
          <w:color w:val="000000" w:themeColor="text1"/>
          <w:spacing w:val="6"/>
          <w:kern w:val="0"/>
          <w:sz w:val="24"/>
          <w:szCs w:val="24"/>
        </w:rPr>
        <w:t>31</w:t>
      </w:r>
      <w:r>
        <w:rPr>
          <w:rFonts w:eastAsia="仿宋" w:cs="Times New Roman"/>
          <w:snapToGrid w:val="0"/>
          <w:color w:val="000000" w:themeColor="text1"/>
          <w:spacing w:val="6"/>
          <w:kern w:val="0"/>
          <w:sz w:val="24"/>
          <w:szCs w:val="24"/>
        </w:rPr>
        <w:t>日，部分信息涉及以往年度。除另有注明外，本报告以江苏</w:t>
      </w:r>
      <w:r>
        <w:rPr>
          <w:rFonts w:eastAsia="仿宋" w:cs="Times New Roman" w:hint="eastAsia"/>
          <w:snapToGrid w:val="0"/>
          <w:color w:val="000000" w:themeColor="text1"/>
          <w:spacing w:val="6"/>
          <w:kern w:val="0"/>
          <w:sz w:val="24"/>
          <w:szCs w:val="24"/>
        </w:rPr>
        <w:t>句容</w:t>
      </w:r>
      <w:r>
        <w:rPr>
          <w:rFonts w:eastAsia="仿宋" w:cs="Times New Roman"/>
          <w:snapToGrid w:val="0"/>
          <w:color w:val="000000" w:themeColor="text1"/>
          <w:spacing w:val="6"/>
          <w:kern w:val="0"/>
          <w:sz w:val="24"/>
          <w:szCs w:val="24"/>
        </w:rPr>
        <w:t>农村商业</w:t>
      </w:r>
      <w:r>
        <w:rPr>
          <w:rFonts w:eastAsia="仿宋" w:cs="Times New Roman"/>
          <w:color w:val="000000" w:themeColor="text1"/>
          <w:spacing w:val="6"/>
          <w:sz w:val="24"/>
        </w:rPr>
        <w:t>银行股份有限公司为主体，包含下辖分支机构数据。</w:t>
      </w:r>
    </w:p>
    <w:p w:rsidR="00EE0247" w:rsidRDefault="007240D0" w:rsidP="00D241E6">
      <w:pPr>
        <w:widowControl/>
        <w:kinsoku w:val="0"/>
        <w:autoSpaceDE w:val="0"/>
        <w:autoSpaceDN w:val="0"/>
        <w:adjustRightInd w:val="0"/>
        <w:snapToGrid w:val="0"/>
        <w:spacing w:beforeLines="50" w:line="240" w:lineRule="auto"/>
        <w:ind w:firstLine="480"/>
        <w:textAlignment w:val="baseline"/>
        <w:rPr>
          <w:rFonts w:eastAsia="黑体" w:cs="Times New Roman"/>
          <w:color w:val="000000" w:themeColor="text1"/>
          <w:sz w:val="24"/>
          <w:szCs w:val="24"/>
        </w:rPr>
      </w:pPr>
      <w:r>
        <w:rPr>
          <w:rFonts w:eastAsia="黑体" w:cs="Times New Roman"/>
          <w:color w:val="000000" w:themeColor="text1"/>
          <w:sz w:val="24"/>
          <w:szCs w:val="24"/>
        </w:rPr>
        <w:t xml:space="preserve">1.1.3 </w:t>
      </w:r>
      <w:r>
        <w:rPr>
          <w:rFonts w:eastAsia="黑体" w:cs="Times New Roman"/>
          <w:color w:val="000000" w:themeColor="text1"/>
          <w:sz w:val="24"/>
          <w:szCs w:val="24"/>
        </w:rPr>
        <w:t>编写依据</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color w:val="000000" w:themeColor="text1"/>
          <w:spacing w:val="6"/>
          <w:sz w:val="24"/>
        </w:rPr>
        <w:t>本报告根据《金融机构环境信息披露指南》（</w:t>
      </w:r>
      <w:r>
        <w:rPr>
          <w:rFonts w:eastAsia="仿宋" w:cs="Times New Roman"/>
          <w:bCs/>
          <w:color w:val="000000" w:themeColor="text1"/>
          <w:spacing w:val="6"/>
          <w:sz w:val="24"/>
        </w:rPr>
        <w:t>JR/T 0227-2021</w:t>
      </w:r>
      <w:r>
        <w:rPr>
          <w:rFonts w:eastAsia="仿宋" w:cs="Times New Roman"/>
          <w:bCs/>
          <w:color w:val="000000" w:themeColor="text1"/>
          <w:spacing w:val="6"/>
          <w:sz w:val="24"/>
        </w:rPr>
        <w:t>）、《金融机构碳核算技术指南（试行）》（银办发〔</w:t>
      </w:r>
      <w:r>
        <w:rPr>
          <w:rFonts w:eastAsia="仿宋" w:cs="Times New Roman"/>
          <w:bCs/>
          <w:color w:val="000000" w:themeColor="text1"/>
          <w:spacing w:val="6"/>
          <w:sz w:val="24"/>
        </w:rPr>
        <w:t>2021</w:t>
      </w:r>
      <w:r>
        <w:rPr>
          <w:rFonts w:eastAsia="仿宋" w:cs="Times New Roman"/>
          <w:bCs/>
          <w:color w:val="000000" w:themeColor="text1"/>
          <w:spacing w:val="6"/>
          <w:sz w:val="24"/>
        </w:rPr>
        <w:t>〕</w:t>
      </w:r>
      <w:r>
        <w:rPr>
          <w:rFonts w:eastAsia="仿宋" w:cs="Times New Roman"/>
          <w:bCs/>
          <w:color w:val="000000" w:themeColor="text1"/>
          <w:spacing w:val="6"/>
          <w:sz w:val="24"/>
        </w:rPr>
        <w:t>119</w:t>
      </w:r>
      <w:r>
        <w:rPr>
          <w:rFonts w:eastAsia="仿宋" w:cs="Times New Roman"/>
          <w:bCs/>
          <w:color w:val="000000" w:themeColor="text1"/>
          <w:spacing w:val="6"/>
          <w:sz w:val="24"/>
        </w:rPr>
        <w:t>号）、《企业可持续披露准则第</w:t>
      </w:r>
      <w:r>
        <w:rPr>
          <w:rFonts w:eastAsia="仿宋" w:cs="Times New Roman"/>
          <w:bCs/>
          <w:color w:val="000000" w:themeColor="text1"/>
          <w:spacing w:val="6"/>
          <w:sz w:val="24"/>
        </w:rPr>
        <w:t>1</w:t>
      </w:r>
      <w:r>
        <w:rPr>
          <w:rFonts w:eastAsia="仿宋" w:cs="Times New Roman"/>
          <w:bCs/>
          <w:color w:val="000000" w:themeColor="text1"/>
          <w:spacing w:val="6"/>
          <w:sz w:val="24"/>
        </w:rPr>
        <w:t>号</w:t>
      </w:r>
      <w:r>
        <w:rPr>
          <w:rFonts w:eastAsia="仿宋" w:cs="Times New Roman"/>
          <w:bCs/>
          <w:color w:val="000000" w:themeColor="text1"/>
          <w:spacing w:val="6"/>
          <w:sz w:val="24"/>
        </w:rPr>
        <w:t>——</w:t>
      </w:r>
      <w:r>
        <w:rPr>
          <w:rFonts w:eastAsia="仿宋" w:cs="Times New Roman"/>
          <w:bCs/>
          <w:color w:val="000000" w:themeColor="text1"/>
          <w:spacing w:val="6"/>
          <w:sz w:val="24"/>
        </w:rPr>
        <w:t>气候（试行）》、《江苏省银行业金融机构环境信息披露指引（试行）》（苏银发〔</w:t>
      </w:r>
      <w:r>
        <w:rPr>
          <w:rFonts w:eastAsia="仿宋" w:cs="Times New Roman"/>
          <w:bCs/>
          <w:color w:val="000000" w:themeColor="text1"/>
          <w:spacing w:val="6"/>
          <w:sz w:val="24"/>
        </w:rPr>
        <w:t>2024</w:t>
      </w:r>
      <w:r>
        <w:rPr>
          <w:rFonts w:eastAsia="仿宋" w:cs="Times New Roman"/>
          <w:bCs/>
          <w:color w:val="000000" w:themeColor="text1"/>
          <w:spacing w:val="6"/>
          <w:sz w:val="24"/>
        </w:rPr>
        <w:t>〕</w:t>
      </w:r>
      <w:r>
        <w:rPr>
          <w:rFonts w:eastAsia="仿宋" w:cs="Times New Roman"/>
          <w:bCs/>
          <w:color w:val="000000" w:themeColor="text1"/>
          <w:spacing w:val="6"/>
          <w:sz w:val="24"/>
        </w:rPr>
        <w:t>49</w:t>
      </w:r>
      <w:r>
        <w:rPr>
          <w:rFonts w:eastAsia="仿宋" w:cs="Times New Roman"/>
          <w:bCs/>
          <w:color w:val="000000" w:themeColor="text1"/>
          <w:spacing w:val="6"/>
          <w:sz w:val="24"/>
        </w:rPr>
        <w:t>号）和《中国人民银行江苏省分行关于做好</w:t>
      </w:r>
      <w:r>
        <w:rPr>
          <w:rFonts w:eastAsia="仿宋" w:cs="Times New Roman"/>
          <w:bCs/>
          <w:color w:val="000000" w:themeColor="text1"/>
          <w:spacing w:val="6"/>
          <w:sz w:val="24"/>
        </w:rPr>
        <w:t>2024</w:t>
      </w:r>
      <w:r>
        <w:rPr>
          <w:rFonts w:eastAsia="仿宋" w:cs="Times New Roman"/>
          <w:bCs/>
          <w:color w:val="000000" w:themeColor="text1"/>
          <w:spacing w:val="6"/>
          <w:sz w:val="24"/>
        </w:rPr>
        <w:t>年度江苏省银行业金融机构环境信息披露工作的通知》（苏银发〔</w:t>
      </w:r>
      <w:r>
        <w:rPr>
          <w:rFonts w:eastAsia="仿宋" w:cs="Times New Roman"/>
          <w:bCs/>
          <w:color w:val="000000" w:themeColor="text1"/>
          <w:spacing w:val="6"/>
          <w:sz w:val="24"/>
        </w:rPr>
        <w:t>2025</w:t>
      </w:r>
      <w:r>
        <w:rPr>
          <w:rFonts w:eastAsia="仿宋" w:cs="Times New Roman"/>
          <w:bCs/>
          <w:color w:val="000000" w:themeColor="text1"/>
          <w:spacing w:val="6"/>
          <w:sz w:val="24"/>
        </w:rPr>
        <w:t>〕</w:t>
      </w:r>
      <w:r>
        <w:rPr>
          <w:rFonts w:eastAsia="仿宋" w:cs="Times New Roman"/>
          <w:bCs/>
          <w:color w:val="000000" w:themeColor="text1"/>
          <w:spacing w:val="6"/>
          <w:sz w:val="24"/>
        </w:rPr>
        <w:t>20</w:t>
      </w:r>
      <w:r>
        <w:rPr>
          <w:rFonts w:eastAsia="仿宋" w:cs="Times New Roman"/>
          <w:bCs/>
          <w:color w:val="000000" w:themeColor="text1"/>
          <w:spacing w:val="6"/>
          <w:sz w:val="24"/>
        </w:rPr>
        <w:t>号）的要求进行核算编制。同时，本报告</w:t>
      </w:r>
      <w:r>
        <w:rPr>
          <w:rFonts w:eastAsia="仿宋" w:cs="Times New Roman"/>
          <w:bCs/>
          <w:snapToGrid w:val="0"/>
          <w:color w:val="000000" w:themeColor="text1"/>
          <w:spacing w:val="6"/>
          <w:kern w:val="0"/>
          <w:sz w:val="24"/>
          <w:szCs w:val="24"/>
        </w:rPr>
        <w:t>参考了碳核算金融联盟（</w:t>
      </w:r>
      <w:r>
        <w:rPr>
          <w:rFonts w:eastAsia="仿宋" w:cs="Times New Roman"/>
          <w:bCs/>
          <w:snapToGrid w:val="0"/>
          <w:color w:val="000000" w:themeColor="text1"/>
          <w:spacing w:val="6"/>
          <w:kern w:val="0"/>
          <w:sz w:val="24"/>
          <w:szCs w:val="24"/>
        </w:rPr>
        <w:t>PCAF</w:t>
      </w:r>
      <w:r>
        <w:rPr>
          <w:rFonts w:eastAsia="仿宋" w:cs="Times New Roman"/>
          <w:bCs/>
          <w:snapToGrid w:val="0"/>
          <w:color w:val="000000" w:themeColor="text1"/>
          <w:spacing w:val="6"/>
          <w:kern w:val="0"/>
          <w:sz w:val="24"/>
          <w:szCs w:val="24"/>
        </w:rPr>
        <w:t>）《金融行业温室气体核算和披露全球性标准》和国际可持续准则理事会（</w:t>
      </w:r>
      <w:r>
        <w:rPr>
          <w:rFonts w:eastAsia="仿宋" w:cs="Times New Roman"/>
          <w:bCs/>
          <w:snapToGrid w:val="0"/>
          <w:color w:val="000000" w:themeColor="text1"/>
          <w:spacing w:val="6"/>
          <w:kern w:val="0"/>
          <w:sz w:val="24"/>
          <w:szCs w:val="24"/>
        </w:rPr>
        <w:t>ISSB</w:t>
      </w:r>
      <w:r>
        <w:rPr>
          <w:rFonts w:eastAsia="仿宋" w:cs="Times New Roman"/>
          <w:bCs/>
          <w:snapToGrid w:val="0"/>
          <w:color w:val="000000" w:themeColor="text1"/>
          <w:spacing w:val="6"/>
          <w:kern w:val="0"/>
          <w:sz w:val="24"/>
          <w:szCs w:val="24"/>
        </w:rPr>
        <w:t>）《国际财务报告可持续披露准则第</w:t>
      </w:r>
      <w:r>
        <w:rPr>
          <w:rFonts w:eastAsia="仿宋" w:cs="Times New Roman"/>
          <w:bCs/>
          <w:snapToGrid w:val="0"/>
          <w:color w:val="000000" w:themeColor="text1"/>
          <w:spacing w:val="6"/>
          <w:kern w:val="0"/>
          <w:sz w:val="24"/>
          <w:szCs w:val="24"/>
        </w:rPr>
        <w:t>1</w:t>
      </w:r>
      <w:r>
        <w:rPr>
          <w:rFonts w:eastAsia="仿宋" w:cs="Times New Roman"/>
          <w:bCs/>
          <w:snapToGrid w:val="0"/>
          <w:color w:val="000000" w:themeColor="text1"/>
          <w:spacing w:val="6"/>
          <w:kern w:val="0"/>
          <w:sz w:val="24"/>
          <w:szCs w:val="24"/>
        </w:rPr>
        <w:t>号</w:t>
      </w:r>
      <w:r>
        <w:rPr>
          <w:rFonts w:eastAsia="仿宋" w:cs="Times New Roman"/>
          <w:bCs/>
          <w:snapToGrid w:val="0"/>
          <w:color w:val="000000" w:themeColor="text1"/>
          <w:spacing w:val="6"/>
          <w:kern w:val="0"/>
          <w:sz w:val="24"/>
          <w:szCs w:val="24"/>
        </w:rPr>
        <w:t>——</w:t>
      </w:r>
      <w:r>
        <w:rPr>
          <w:rFonts w:eastAsia="仿宋" w:cs="Times New Roman"/>
          <w:bCs/>
          <w:snapToGrid w:val="0"/>
          <w:color w:val="000000" w:themeColor="text1"/>
          <w:spacing w:val="6"/>
          <w:kern w:val="0"/>
          <w:sz w:val="24"/>
          <w:szCs w:val="24"/>
        </w:rPr>
        <w:t>可持续相关财务信息披露一般要求》《国际财务报告可持续披露准则第</w:t>
      </w:r>
      <w:r>
        <w:rPr>
          <w:rFonts w:eastAsia="仿宋" w:cs="Times New Roman"/>
          <w:bCs/>
          <w:snapToGrid w:val="0"/>
          <w:color w:val="000000" w:themeColor="text1"/>
          <w:spacing w:val="6"/>
          <w:kern w:val="0"/>
          <w:sz w:val="24"/>
          <w:szCs w:val="24"/>
        </w:rPr>
        <w:t>2</w:t>
      </w:r>
      <w:r>
        <w:rPr>
          <w:rFonts w:eastAsia="仿宋" w:cs="Times New Roman"/>
          <w:bCs/>
          <w:snapToGrid w:val="0"/>
          <w:color w:val="000000" w:themeColor="text1"/>
          <w:spacing w:val="6"/>
          <w:kern w:val="0"/>
          <w:sz w:val="24"/>
          <w:szCs w:val="24"/>
        </w:rPr>
        <w:t>号</w:t>
      </w:r>
      <w:r>
        <w:rPr>
          <w:rFonts w:eastAsia="仿宋" w:cs="Times New Roman"/>
          <w:bCs/>
          <w:snapToGrid w:val="0"/>
          <w:color w:val="000000" w:themeColor="text1"/>
          <w:spacing w:val="6"/>
          <w:kern w:val="0"/>
          <w:sz w:val="24"/>
          <w:szCs w:val="24"/>
        </w:rPr>
        <w:t>——</w:t>
      </w:r>
      <w:r>
        <w:rPr>
          <w:rFonts w:eastAsia="仿宋" w:cs="Times New Roman"/>
          <w:bCs/>
          <w:snapToGrid w:val="0"/>
          <w:color w:val="000000" w:themeColor="text1"/>
          <w:spacing w:val="6"/>
          <w:kern w:val="0"/>
          <w:sz w:val="24"/>
          <w:szCs w:val="24"/>
        </w:rPr>
        <w:t>气候相关披露》中的核算和披露原则。</w:t>
      </w:r>
    </w:p>
    <w:p w:rsidR="00EE0247" w:rsidRDefault="007240D0">
      <w:pPr>
        <w:pStyle w:val="2"/>
        <w:rPr>
          <w:rFonts w:ascii="Times New Roman" w:hAnsi="Times New Roman" w:hint="default"/>
        </w:rPr>
      </w:pPr>
      <w:bookmarkStart w:id="3" w:name="_Toc206595304"/>
      <w:r>
        <w:rPr>
          <w:rFonts w:ascii="Times New Roman" w:hAnsi="Times New Roman" w:hint="default"/>
        </w:rPr>
        <w:t xml:space="preserve">1.2 </w:t>
      </w:r>
      <w:r>
        <w:rPr>
          <w:rFonts w:ascii="Times New Roman" w:hAnsi="Times New Roman" w:hint="default"/>
        </w:rPr>
        <w:t>基本信息</w:t>
      </w:r>
      <w:bookmarkEnd w:id="3"/>
    </w:p>
    <w:p w:rsidR="00EE0247" w:rsidRDefault="007240D0" w:rsidP="00D241E6">
      <w:pPr>
        <w:widowControl/>
        <w:kinsoku w:val="0"/>
        <w:autoSpaceDE w:val="0"/>
        <w:autoSpaceDN w:val="0"/>
        <w:adjustRightInd w:val="0"/>
        <w:snapToGrid w:val="0"/>
        <w:spacing w:beforeLines="50" w:line="240" w:lineRule="auto"/>
        <w:ind w:firstLine="480"/>
        <w:textAlignment w:val="baseline"/>
        <w:rPr>
          <w:rFonts w:eastAsia="黑体" w:cs="Times New Roman"/>
          <w:color w:val="000000" w:themeColor="text1"/>
          <w:sz w:val="24"/>
          <w:szCs w:val="24"/>
        </w:rPr>
      </w:pPr>
      <w:r>
        <w:rPr>
          <w:rFonts w:eastAsia="黑体" w:cs="Times New Roman"/>
          <w:color w:val="000000" w:themeColor="text1"/>
          <w:sz w:val="24"/>
          <w:szCs w:val="24"/>
        </w:rPr>
        <w:t xml:space="preserve">1.2.1 </w:t>
      </w:r>
      <w:r>
        <w:rPr>
          <w:rFonts w:eastAsia="黑体" w:cs="Times New Roman"/>
          <w:color w:val="000000" w:themeColor="text1"/>
          <w:sz w:val="24"/>
          <w:szCs w:val="24"/>
        </w:rPr>
        <w:t>基本信息</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机构名称：江苏</w:t>
      </w:r>
      <w:r>
        <w:rPr>
          <w:rFonts w:eastAsia="仿宋" w:cs="Times New Roman" w:hint="eastAsia"/>
          <w:snapToGrid w:val="0"/>
          <w:color w:val="000000" w:themeColor="text1"/>
          <w:spacing w:val="6"/>
          <w:kern w:val="0"/>
          <w:sz w:val="24"/>
          <w:szCs w:val="24"/>
        </w:rPr>
        <w:t>句容</w:t>
      </w:r>
      <w:r>
        <w:rPr>
          <w:rFonts w:eastAsia="仿宋" w:cs="Times New Roman"/>
          <w:snapToGrid w:val="0"/>
          <w:color w:val="000000" w:themeColor="text1"/>
          <w:spacing w:val="6"/>
          <w:kern w:val="0"/>
          <w:sz w:val="24"/>
          <w:szCs w:val="24"/>
        </w:rPr>
        <w:t>农村商业银行股份有限公司</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单位性质：股份有限公司（非上市）</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所属行业：金融业</w:t>
      </w:r>
      <w:r>
        <w:rPr>
          <w:rFonts w:eastAsia="仿宋" w:cs="Times New Roman"/>
          <w:snapToGrid w:val="0"/>
          <w:color w:val="000000" w:themeColor="text1"/>
          <w:spacing w:val="6"/>
          <w:kern w:val="0"/>
          <w:sz w:val="24"/>
          <w:szCs w:val="24"/>
        </w:rPr>
        <w:t xml:space="preserve"> &gt; </w:t>
      </w:r>
      <w:r>
        <w:rPr>
          <w:rFonts w:eastAsia="仿宋" w:cs="Times New Roman"/>
          <w:snapToGrid w:val="0"/>
          <w:color w:val="000000" w:themeColor="text1"/>
          <w:spacing w:val="6"/>
          <w:kern w:val="0"/>
          <w:sz w:val="24"/>
          <w:szCs w:val="24"/>
        </w:rPr>
        <w:t>货币金融服务</w:t>
      </w:r>
      <w:r>
        <w:rPr>
          <w:rFonts w:eastAsia="仿宋" w:cs="Times New Roman"/>
          <w:snapToGrid w:val="0"/>
          <w:color w:val="000000" w:themeColor="text1"/>
          <w:spacing w:val="6"/>
          <w:kern w:val="0"/>
          <w:sz w:val="24"/>
          <w:szCs w:val="24"/>
        </w:rPr>
        <w:tab/>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ascii="仿宋" w:eastAsia="仿宋" w:hAnsi="仿宋" w:cs="仿宋"/>
          <w:snapToGrid w:val="0"/>
          <w:color w:val="000000" w:themeColor="text1"/>
          <w:spacing w:val="6"/>
          <w:kern w:val="0"/>
          <w:sz w:val="24"/>
          <w:szCs w:val="24"/>
        </w:rPr>
      </w:pPr>
      <w:r>
        <w:rPr>
          <w:rFonts w:eastAsia="仿宋" w:cs="Times New Roman"/>
          <w:snapToGrid w:val="0"/>
          <w:color w:val="000000" w:themeColor="text1"/>
          <w:spacing w:val="6"/>
          <w:kern w:val="0"/>
          <w:sz w:val="24"/>
          <w:szCs w:val="24"/>
        </w:rPr>
        <w:t>统一社会信用代码：</w:t>
      </w:r>
      <w:r>
        <w:rPr>
          <w:rFonts w:ascii="仿宋" w:eastAsia="仿宋" w:hAnsi="仿宋" w:cs="仿宋" w:hint="eastAsia"/>
          <w:snapToGrid w:val="0"/>
          <w:color w:val="000000" w:themeColor="text1"/>
          <w:spacing w:val="6"/>
          <w:kern w:val="0"/>
          <w:sz w:val="24"/>
          <w:szCs w:val="24"/>
        </w:rPr>
        <w:t>91321100576724933U</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ascii="仿宋" w:eastAsia="仿宋" w:hAnsi="仿宋" w:cs="仿宋"/>
          <w:snapToGrid w:val="0"/>
          <w:color w:val="000000" w:themeColor="text1"/>
          <w:spacing w:val="6"/>
          <w:kern w:val="0"/>
          <w:sz w:val="24"/>
          <w:szCs w:val="24"/>
        </w:rPr>
      </w:pPr>
      <w:r>
        <w:rPr>
          <w:rFonts w:ascii="仿宋" w:eastAsia="仿宋" w:hAnsi="仿宋" w:cs="仿宋" w:hint="eastAsia"/>
          <w:snapToGrid w:val="0"/>
          <w:color w:val="000000" w:themeColor="text1"/>
          <w:spacing w:val="6"/>
          <w:kern w:val="0"/>
          <w:sz w:val="24"/>
          <w:szCs w:val="24"/>
        </w:rPr>
        <w:t>地址：江苏省句容市福地东路66号</w:t>
      </w:r>
    </w:p>
    <w:p w:rsidR="00EE0247" w:rsidRDefault="00EE0247" w:rsidP="00D241E6">
      <w:pPr>
        <w:widowControl/>
        <w:kinsoku w:val="0"/>
        <w:autoSpaceDE w:val="0"/>
        <w:autoSpaceDN w:val="0"/>
        <w:adjustRightInd w:val="0"/>
        <w:snapToGrid w:val="0"/>
        <w:spacing w:beforeLines="50" w:line="240" w:lineRule="auto"/>
        <w:ind w:firstLine="480"/>
        <w:textAlignment w:val="baseline"/>
        <w:rPr>
          <w:rFonts w:eastAsia="黑体" w:cs="Times New Roman"/>
          <w:color w:val="000000" w:themeColor="text1"/>
          <w:sz w:val="24"/>
          <w:szCs w:val="24"/>
        </w:rPr>
      </w:pPr>
    </w:p>
    <w:p w:rsidR="00EE0247" w:rsidRDefault="00EE0247" w:rsidP="00D241E6">
      <w:pPr>
        <w:widowControl/>
        <w:kinsoku w:val="0"/>
        <w:autoSpaceDE w:val="0"/>
        <w:autoSpaceDN w:val="0"/>
        <w:adjustRightInd w:val="0"/>
        <w:snapToGrid w:val="0"/>
        <w:spacing w:beforeLines="50" w:line="240" w:lineRule="auto"/>
        <w:ind w:firstLine="480"/>
        <w:textAlignment w:val="baseline"/>
        <w:rPr>
          <w:rFonts w:eastAsia="黑体" w:cs="Times New Roman"/>
          <w:color w:val="000000" w:themeColor="text1"/>
          <w:sz w:val="24"/>
          <w:szCs w:val="24"/>
        </w:rPr>
      </w:pPr>
    </w:p>
    <w:p w:rsidR="00EE0247" w:rsidRDefault="007240D0" w:rsidP="00D241E6">
      <w:pPr>
        <w:widowControl/>
        <w:kinsoku w:val="0"/>
        <w:autoSpaceDE w:val="0"/>
        <w:autoSpaceDN w:val="0"/>
        <w:adjustRightInd w:val="0"/>
        <w:snapToGrid w:val="0"/>
        <w:spacing w:beforeLines="50" w:line="240" w:lineRule="auto"/>
        <w:ind w:firstLine="480"/>
        <w:textAlignment w:val="baseline"/>
        <w:rPr>
          <w:rFonts w:eastAsia="黑体" w:cs="Times New Roman"/>
          <w:color w:val="000000" w:themeColor="text1"/>
          <w:sz w:val="24"/>
          <w:szCs w:val="24"/>
        </w:rPr>
      </w:pPr>
      <w:r>
        <w:rPr>
          <w:rFonts w:eastAsia="黑体" w:cs="Times New Roman"/>
          <w:color w:val="000000" w:themeColor="text1"/>
          <w:sz w:val="24"/>
          <w:szCs w:val="24"/>
        </w:rPr>
        <w:t xml:space="preserve">1.2.2 </w:t>
      </w:r>
      <w:r>
        <w:rPr>
          <w:rFonts w:eastAsia="黑体" w:cs="Times New Roman"/>
          <w:color w:val="000000" w:themeColor="text1"/>
          <w:sz w:val="24"/>
          <w:szCs w:val="24"/>
        </w:rPr>
        <w:t>机构介绍</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句容农村商业银行由句容市农村信用合作联社改制组建而来。原句容市农村信用合作联社</w:t>
      </w:r>
      <w:r>
        <w:rPr>
          <w:rFonts w:eastAsia="仿宋" w:cs="Times New Roman"/>
          <w:snapToGrid w:val="0"/>
          <w:color w:val="000000" w:themeColor="text1"/>
          <w:spacing w:val="6"/>
          <w:kern w:val="0"/>
          <w:sz w:val="24"/>
          <w:szCs w:val="24"/>
        </w:rPr>
        <w:t>1995</w:t>
      </w:r>
      <w:r>
        <w:rPr>
          <w:rFonts w:eastAsia="仿宋" w:cs="Times New Roman"/>
          <w:snapToGrid w:val="0"/>
          <w:color w:val="000000" w:themeColor="text1"/>
          <w:spacing w:val="6"/>
          <w:kern w:val="0"/>
          <w:sz w:val="24"/>
          <w:szCs w:val="24"/>
        </w:rPr>
        <w:t>年末与句容市农业银行</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脱钩</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1999</w:t>
      </w:r>
      <w:r>
        <w:rPr>
          <w:rFonts w:eastAsia="仿宋" w:cs="Times New Roman"/>
          <w:snapToGrid w:val="0"/>
          <w:color w:val="000000" w:themeColor="text1"/>
          <w:spacing w:val="6"/>
          <w:kern w:val="0"/>
          <w:sz w:val="24"/>
          <w:szCs w:val="24"/>
        </w:rPr>
        <w:t>年实行以市联社为</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一级法人、统一核算</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2002</w:t>
      </w:r>
      <w:r>
        <w:rPr>
          <w:rFonts w:eastAsia="仿宋" w:cs="Times New Roman"/>
          <w:snapToGrid w:val="0"/>
          <w:color w:val="000000" w:themeColor="text1"/>
          <w:spacing w:val="6"/>
          <w:kern w:val="0"/>
          <w:sz w:val="24"/>
          <w:szCs w:val="24"/>
        </w:rPr>
        <w:t>年初成立党委，</w:t>
      </w:r>
      <w:r>
        <w:rPr>
          <w:rFonts w:eastAsia="仿宋" w:cs="Times New Roman"/>
          <w:snapToGrid w:val="0"/>
          <w:color w:val="000000" w:themeColor="text1"/>
          <w:spacing w:val="6"/>
          <w:kern w:val="0"/>
          <w:sz w:val="24"/>
          <w:szCs w:val="24"/>
        </w:rPr>
        <w:t>2011</w:t>
      </w:r>
      <w:r>
        <w:rPr>
          <w:rFonts w:eastAsia="仿宋" w:cs="Times New Roman"/>
          <w:snapToGrid w:val="0"/>
          <w:color w:val="000000" w:themeColor="text1"/>
          <w:spacing w:val="6"/>
          <w:kern w:val="0"/>
          <w:sz w:val="24"/>
          <w:szCs w:val="24"/>
        </w:rPr>
        <w:t>年</w:t>
      </w:r>
      <w:r>
        <w:rPr>
          <w:rFonts w:eastAsia="仿宋" w:cs="Times New Roman"/>
          <w:snapToGrid w:val="0"/>
          <w:color w:val="000000" w:themeColor="text1"/>
          <w:spacing w:val="6"/>
          <w:kern w:val="0"/>
          <w:sz w:val="24"/>
          <w:szCs w:val="24"/>
        </w:rPr>
        <w:t>6</w:t>
      </w:r>
      <w:r>
        <w:rPr>
          <w:rFonts w:eastAsia="仿宋" w:cs="Times New Roman"/>
          <w:snapToGrid w:val="0"/>
          <w:color w:val="000000" w:themeColor="text1"/>
          <w:spacing w:val="6"/>
          <w:kern w:val="0"/>
          <w:sz w:val="24"/>
          <w:szCs w:val="24"/>
        </w:rPr>
        <w:t>月成功改制为农村商业银行，是经中国银行业监督管理委员会批准，永久存续的股份制银行业金融机构，实行一级法人、统一核算、统一管理、授权经营的管理体制。长期以来，该行以服务三农、服务中小企业、服务地方经济为办行宗旨，加快发展步伐、增强支农实力。</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本行经营范围包括：吸收公众存款；发放短期、中期和长期贷款；办理国内结算；办理票据承兑与贴现；代理发行、代理兑付、承销政府债券；买卖政府债券、金融债券；从事同业拆借；从事银行卡业务；代理收付款项；提供保险箱业务；经中国银行业监督管理机构批准的其他业务。</w:t>
      </w:r>
    </w:p>
    <w:p w:rsidR="00EE0247" w:rsidRDefault="00EE0247"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sectPr w:rsidR="00EE0247">
          <w:footerReference w:type="default" r:id="rId20"/>
          <w:headerReference w:type="first" r:id="rId21"/>
          <w:type w:val="continuous"/>
          <w:pgSz w:w="11906" w:h="16838"/>
          <w:pgMar w:top="1440" w:right="1800" w:bottom="1440" w:left="1800" w:header="851" w:footer="992" w:gutter="0"/>
          <w:pgNumType w:start="1"/>
          <w:cols w:space="720"/>
          <w:docGrid w:type="lines" w:linePitch="435"/>
        </w:sectPr>
      </w:pPr>
    </w:p>
    <w:p w:rsidR="00EE0247" w:rsidRDefault="007240D0">
      <w:pPr>
        <w:pStyle w:val="1"/>
        <w:rPr>
          <w:rFonts w:cs="Times New Roman"/>
        </w:rPr>
      </w:pPr>
      <w:bookmarkStart w:id="4" w:name="_Toc206595305"/>
      <w:r>
        <w:rPr>
          <w:rFonts w:cs="Times New Roman"/>
        </w:rPr>
        <w:lastRenderedPageBreak/>
        <w:t>第二章</w:t>
      </w:r>
      <w:r>
        <w:rPr>
          <w:rFonts w:cs="Times New Roman"/>
        </w:rPr>
        <w:t xml:space="preserve"> </w:t>
      </w:r>
      <w:r>
        <w:rPr>
          <w:rFonts w:cs="Times New Roman"/>
        </w:rPr>
        <w:t>年度概况</w:t>
      </w:r>
      <w:bookmarkEnd w:id="4"/>
    </w:p>
    <w:p w:rsidR="00EE0247" w:rsidRDefault="007240D0">
      <w:pPr>
        <w:pStyle w:val="2"/>
        <w:rPr>
          <w:rFonts w:ascii="Times New Roman" w:hAnsi="Times New Roman" w:hint="default"/>
        </w:rPr>
      </w:pPr>
      <w:bookmarkStart w:id="5" w:name="_Toc206595306"/>
      <w:r>
        <w:rPr>
          <w:rFonts w:ascii="Times New Roman" w:hAnsi="Times New Roman" w:hint="default"/>
        </w:rPr>
        <w:t xml:space="preserve">2.1 </w:t>
      </w:r>
      <w:r>
        <w:rPr>
          <w:rFonts w:ascii="Times New Roman" w:hAnsi="Times New Roman" w:hint="default"/>
        </w:rPr>
        <w:t>目标愿景</w:t>
      </w:r>
      <w:bookmarkEnd w:id="5"/>
    </w:p>
    <w:p w:rsidR="00EE0247" w:rsidRDefault="007240D0" w:rsidP="00D241E6">
      <w:pPr>
        <w:widowControl/>
        <w:kinsoku w:val="0"/>
        <w:autoSpaceDE w:val="0"/>
        <w:autoSpaceDN w:val="0"/>
        <w:adjustRightInd w:val="0"/>
        <w:snapToGrid w:val="0"/>
        <w:spacing w:beforeLines="50" w:line="240" w:lineRule="auto"/>
        <w:ind w:firstLine="480"/>
        <w:textAlignment w:val="baseline"/>
        <w:rPr>
          <w:rFonts w:eastAsia="黑体" w:cs="Times New Roman"/>
          <w:color w:val="000000" w:themeColor="text1"/>
          <w:sz w:val="24"/>
          <w:szCs w:val="24"/>
        </w:rPr>
      </w:pPr>
      <w:r>
        <w:rPr>
          <w:rFonts w:eastAsia="黑体" w:cs="Times New Roman"/>
          <w:color w:val="000000" w:themeColor="text1"/>
          <w:sz w:val="24"/>
          <w:szCs w:val="24"/>
        </w:rPr>
        <w:t xml:space="preserve">2.1.1 </w:t>
      </w:r>
      <w:r>
        <w:rPr>
          <w:rFonts w:eastAsia="黑体" w:cs="Times New Roman"/>
          <w:color w:val="000000" w:themeColor="text1"/>
          <w:sz w:val="24"/>
          <w:szCs w:val="24"/>
        </w:rPr>
        <w:t>环境、绿色金融相关目标设置情况</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本行全面贯彻落实国家绿色发展政策，秉持</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绿色、创新、可持续</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的发展理念，创新产品、业务模式和服务方式，积极探索绿色金融创新模式，加大绿色信贷投放力度，提高绿色金融业务占比，助推绿色低碳高质量发展。</w:t>
      </w:r>
    </w:p>
    <w:p w:rsidR="00EE0247" w:rsidRDefault="007240D0" w:rsidP="00D241E6">
      <w:pPr>
        <w:widowControl/>
        <w:kinsoku w:val="0"/>
        <w:autoSpaceDE w:val="0"/>
        <w:autoSpaceDN w:val="0"/>
        <w:adjustRightInd w:val="0"/>
        <w:snapToGrid w:val="0"/>
        <w:spacing w:beforeLines="50" w:line="240" w:lineRule="auto"/>
        <w:ind w:firstLine="480"/>
        <w:textAlignment w:val="baseline"/>
        <w:rPr>
          <w:rFonts w:eastAsia="黑体" w:cs="Times New Roman"/>
          <w:color w:val="000000" w:themeColor="text1"/>
          <w:sz w:val="24"/>
          <w:szCs w:val="24"/>
        </w:rPr>
      </w:pPr>
      <w:r>
        <w:rPr>
          <w:rFonts w:eastAsia="黑体" w:cs="Times New Roman"/>
          <w:color w:val="000000" w:themeColor="text1"/>
          <w:sz w:val="24"/>
          <w:szCs w:val="24"/>
        </w:rPr>
        <w:t xml:space="preserve">2.1.2 </w:t>
      </w:r>
      <w:r>
        <w:rPr>
          <w:rFonts w:eastAsia="黑体" w:cs="Times New Roman"/>
          <w:color w:val="000000" w:themeColor="text1"/>
          <w:sz w:val="24"/>
          <w:szCs w:val="24"/>
        </w:rPr>
        <w:t>环境、绿色金融相关目标完成情况</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近几年，本行持续</w:t>
      </w:r>
      <w:proofErr w:type="gramStart"/>
      <w:r>
        <w:rPr>
          <w:rFonts w:eastAsia="仿宋" w:cs="Times New Roman"/>
          <w:snapToGrid w:val="0"/>
          <w:color w:val="000000" w:themeColor="text1"/>
          <w:spacing w:val="6"/>
          <w:kern w:val="0"/>
          <w:sz w:val="24"/>
          <w:szCs w:val="24"/>
        </w:rPr>
        <w:t>践行</w:t>
      </w:r>
      <w:proofErr w:type="gramEnd"/>
      <w:r>
        <w:rPr>
          <w:rFonts w:eastAsia="仿宋" w:cs="Times New Roman"/>
          <w:snapToGrid w:val="0"/>
          <w:color w:val="000000" w:themeColor="text1"/>
          <w:spacing w:val="6"/>
          <w:kern w:val="0"/>
          <w:sz w:val="24"/>
          <w:szCs w:val="24"/>
        </w:rPr>
        <w:t>支持绿色低碳发展的使命担当，坚持科学谋划、服务实体、系统推进和创新引领，进一步拓宽绿色融资渠道，加快推动绿色金融服务供给。截止</w:t>
      </w:r>
      <w:r>
        <w:rPr>
          <w:rFonts w:eastAsia="仿宋" w:cs="Times New Roman"/>
          <w:snapToGrid w:val="0"/>
          <w:color w:val="000000" w:themeColor="text1"/>
          <w:spacing w:val="6"/>
          <w:kern w:val="0"/>
          <w:sz w:val="24"/>
          <w:szCs w:val="24"/>
        </w:rPr>
        <w:t>2024</w:t>
      </w:r>
      <w:r w:rsidR="00C3082E">
        <w:rPr>
          <w:rFonts w:eastAsia="仿宋" w:cs="Times New Roman"/>
          <w:snapToGrid w:val="0"/>
          <w:color w:val="000000" w:themeColor="text1"/>
          <w:spacing w:val="6"/>
          <w:kern w:val="0"/>
          <w:sz w:val="24"/>
          <w:szCs w:val="24"/>
        </w:rPr>
        <w:t>年末，本行绿色贷款较上年</w:t>
      </w:r>
      <w:r w:rsidR="00C3082E">
        <w:rPr>
          <w:rFonts w:eastAsia="仿宋" w:cs="Times New Roman" w:hint="eastAsia"/>
          <w:snapToGrid w:val="0"/>
          <w:color w:val="000000" w:themeColor="text1"/>
          <w:spacing w:val="6"/>
          <w:kern w:val="0"/>
          <w:sz w:val="24"/>
          <w:szCs w:val="24"/>
        </w:rPr>
        <w:t>末</w:t>
      </w:r>
      <w:r>
        <w:rPr>
          <w:rFonts w:eastAsia="仿宋" w:cs="Times New Roman"/>
          <w:snapToGrid w:val="0"/>
          <w:color w:val="000000" w:themeColor="text1"/>
          <w:spacing w:val="6"/>
          <w:kern w:val="0"/>
          <w:sz w:val="24"/>
          <w:szCs w:val="24"/>
        </w:rPr>
        <w:t>上升</w:t>
      </w:r>
      <w:r>
        <w:rPr>
          <w:rFonts w:eastAsia="仿宋" w:cs="Times New Roman"/>
          <w:snapToGrid w:val="0"/>
          <w:color w:val="000000" w:themeColor="text1"/>
          <w:spacing w:val="6"/>
          <w:kern w:val="0"/>
          <w:sz w:val="24"/>
          <w:szCs w:val="24"/>
        </w:rPr>
        <w:t>1.51</w:t>
      </w:r>
      <w:r>
        <w:rPr>
          <w:rFonts w:eastAsia="仿宋" w:cs="Times New Roman"/>
          <w:snapToGrid w:val="0"/>
          <w:color w:val="000000" w:themeColor="text1"/>
          <w:spacing w:val="6"/>
          <w:kern w:val="0"/>
          <w:sz w:val="24"/>
          <w:szCs w:val="24"/>
        </w:rPr>
        <w:t>亿元，增速为</w:t>
      </w:r>
      <w:r>
        <w:rPr>
          <w:rFonts w:eastAsia="仿宋" w:cs="Times New Roman"/>
          <w:snapToGrid w:val="0"/>
          <w:color w:val="000000" w:themeColor="text1"/>
          <w:spacing w:val="6"/>
          <w:kern w:val="0"/>
          <w:sz w:val="24"/>
          <w:szCs w:val="24"/>
        </w:rPr>
        <w:t>14.92%</w:t>
      </w:r>
      <w:r>
        <w:rPr>
          <w:rFonts w:eastAsia="仿宋" w:cs="Times New Roman"/>
          <w:snapToGrid w:val="0"/>
          <w:color w:val="000000" w:themeColor="text1"/>
          <w:spacing w:val="6"/>
          <w:kern w:val="0"/>
          <w:sz w:val="24"/>
          <w:szCs w:val="24"/>
        </w:rPr>
        <w:t>，远高于各项贷款增速。</w:t>
      </w:r>
    </w:p>
    <w:p w:rsidR="00EE0247" w:rsidRDefault="007240D0">
      <w:pPr>
        <w:pStyle w:val="2"/>
        <w:rPr>
          <w:rFonts w:ascii="Times New Roman" w:hAnsi="Times New Roman" w:hint="default"/>
        </w:rPr>
      </w:pPr>
      <w:bookmarkStart w:id="6" w:name="_Toc206595307"/>
      <w:r>
        <w:rPr>
          <w:rFonts w:ascii="Times New Roman" w:hAnsi="Times New Roman" w:hint="default"/>
        </w:rPr>
        <w:t xml:space="preserve">2.2 </w:t>
      </w:r>
      <w:r>
        <w:rPr>
          <w:rFonts w:ascii="Times New Roman" w:hAnsi="Times New Roman" w:hint="default"/>
        </w:rPr>
        <w:t>战略规划</w:t>
      </w:r>
      <w:bookmarkEnd w:id="6"/>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本行积极响应国家</w:t>
      </w:r>
      <w:proofErr w:type="gramStart"/>
      <w:r>
        <w:rPr>
          <w:rFonts w:eastAsia="仿宋" w:cs="Times New Roman"/>
          <w:snapToGrid w:val="0"/>
          <w:color w:val="000000" w:themeColor="text1"/>
          <w:spacing w:val="6"/>
          <w:kern w:val="0"/>
          <w:sz w:val="24"/>
          <w:szCs w:val="24"/>
        </w:rPr>
        <w:t>关于碳达峰</w:t>
      </w:r>
      <w:proofErr w:type="gramEnd"/>
      <w:r>
        <w:rPr>
          <w:rFonts w:eastAsia="仿宋" w:cs="Times New Roman"/>
          <w:snapToGrid w:val="0"/>
          <w:color w:val="000000" w:themeColor="text1"/>
          <w:spacing w:val="6"/>
          <w:kern w:val="0"/>
          <w:sz w:val="24"/>
          <w:szCs w:val="24"/>
        </w:rPr>
        <w:t>、碳中和的重大战略决策部署，将绿色金融作为战略转型的重要方向，明确提出要致力于成为</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绿色金融服务</w:t>
      </w:r>
      <w:proofErr w:type="gramStart"/>
      <w:r>
        <w:rPr>
          <w:rFonts w:eastAsia="仿宋" w:cs="Times New Roman"/>
          <w:snapToGrid w:val="0"/>
          <w:color w:val="000000" w:themeColor="text1"/>
          <w:spacing w:val="6"/>
          <w:kern w:val="0"/>
          <w:sz w:val="24"/>
          <w:szCs w:val="24"/>
        </w:rPr>
        <w:t>践行</w:t>
      </w:r>
      <w:proofErr w:type="gramEnd"/>
      <w:r>
        <w:rPr>
          <w:rFonts w:eastAsia="仿宋" w:cs="Times New Roman"/>
          <w:snapToGrid w:val="0"/>
          <w:color w:val="000000" w:themeColor="text1"/>
          <w:spacing w:val="6"/>
          <w:kern w:val="0"/>
          <w:sz w:val="24"/>
          <w:szCs w:val="24"/>
        </w:rPr>
        <w:t>者</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，加大对绿色金融的重视和投入。在</w:t>
      </w:r>
      <w:r>
        <w:rPr>
          <w:rFonts w:eastAsia="仿宋" w:cs="Times New Roman"/>
          <w:snapToGrid w:val="0"/>
          <w:color w:val="000000" w:themeColor="text1"/>
          <w:spacing w:val="6"/>
          <w:kern w:val="0"/>
          <w:sz w:val="24"/>
          <w:szCs w:val="24"/>
        </w:rPr>
        <w:t>2023-2025</w:t>
      </w:r>
      <w:r>
        <w:rPr>
          <w:rFonts w:eastAsia="仿宋" w:cs="Times New Roman"/>
          <w:snapToGrid w:val="0"/>
          <w:color w:val="000000" w:themeColor="text1"/>
          <w:spacing w:val="6"/>
          <w:kern w:val="0"/>
          <w:sz w:val="24"/>
          <w:szCs w:val="24"/>
        </w:rPr>
        <w:t>年战略转型规划中，明确指出要致力于将本行打造成为</w:t>
      </w:r>
      <w:r>
        <w:rPr>
          <w:rFonts w:eastAsia="仿宋" w:cs="Times New Roman"/>
          <w:snapToGrid w:val="0"/>
          <w:color w:val="000000" w:themeColor="text1"/>
          <w:spacing w:val="6"/>
          <w:kern w:val="0"/>
          <w:sz w:val="24"/>
          <w:szCs w:val="24"/>
        </w:rPr>
        <w:t xml:space="preserve"> “</w:t>
      </w:r>
      <w:r>
        <w:rPr>
          <w:rFonts w:eastAsia="仿宋" w:cs="Times New Roman"/>
          <w:snapToGrid w:val="0"/>
          <w:color w:val="000000" w:themeColor="text1"/>
          <w:spacing w:val="6"/>
          <w:kern w:val="0"/>
          <w:sz w:val="24"/>
          <w:szCs w:val="24"/>
        </w:rPr>
        <w:t>绿色金融服务</w:t>
      </w:r>
      <w:proofErr w:type="gramStart"/>
      <w:r>
        <w:rPr>
          <w:rFonts w:eastAsia="仿宋" w:cs="Times New Roman"/>
          <w:snapToGrid w:val="0"/>
          <w:color w:val="000000" w:themeColor="text1"/>
          <w:spacing w:val="6"/>
          <w:kern w:val="0"/>
          <w:sz w:val="24"/>
          <w:szCs w:val="24"/>
        </w:rPr>
        <w:t>践行</w:t>
      </w:r>
      <w:proofErr w:type="gramEnd"/>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，从战略高度推进绿色金融，加大对绿色经济、低碳经济、循环经济的支持，防范环境和社会风险。</w:t>
      </w:r>
    </w:p>
    <w:p w:rsidR="00EE0247" w:rsidRDefault="007240D0">
      <w:pPr>
        <w:pStyle w:val="2"/>
        <w:rPr>
          <w:rFonts w:ascii="Times New Roman" w:hAnsi="Times New Roman" w:hint="default"/>
        </w:rPr>
      </w:pPr>
      <w:bookmarkStart w:id="7" w:name="_Toc206595308"/>
      <w:r>
        <w:rPr>
          <w:rFonts w:ascii="Times New Roman" w:hAnsi="Times New Roman" w:hint="default"/>
        </w:rPr>
        <w:t xml:space="preserve">2.3 </w:t>
      </w:r>
      <w:r>
        <w:rPr>
          <w:rFonts w:ascii="Times New Roman" w:hAnsi="Times New Roman" w:hint="default"/>
        </w:rPr>
        <w:t>政策内容</w:t>
      </w:r>
      <w:bookmarkEnd w:id="7"/>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政策制度方面，本行围绕绿色农业、清洁能源等六大关键领域，深化</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环保贷</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业务布局，推动传统产业低碳升级。建立严格的环境与社会风险管理体系，把企业环保守法作为贷款审批的必要条件，严格执行环保</w:t>
      </w:r>
      <w:r>
        <w:rPr>
          <w:rFonts w:eastAsia="仿宋" w:cs="Times New Roman"/>
          <w:snapToGrid w:val="0"/>
          <w:color w:val="000000" w:themeColor="text1"/>
          <w:spacing w:val="6"/>
          <w:kern w:val="0"/>
          <w:sz w:val="24"/>
          <w:szCs w:val="24"/>
        </w:rPr>
        <w:t xml:space="preserve"> “</w:t>
      </w:r>
      <w:r>
        <w:rPr>
          <w:rFonts w:eastAsia="仿宋" w:cs="Times New Roman"/>
          <w:snapToGrid w:val="0"/>
          <w:color w:val="000000" w:themeColor="text1"/>
          <w:spacing w:val="6"/>
          <w:kern w:val="0"/>
          <w:sz w:val="24"/>
          <w:szCs w:val="24"/>
        </w:rPr>
        <w:t>一票否决制</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，对环境信用评级较低的企业实施精准管控。</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产品服务方面，本行先后出台了《句容农村商业银行</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环保贷</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业务管理办法》、《句容农村商业银行</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碳汇预期收益权质押贷款</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业务管理办法（试行）》、《句容农村商业银行</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排权贷</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业务管理办法》等多项绿色信贷管理制度，积极</w:t>
      </w:r>
      <w:proofErr w:type="gramStart"/>
      <w:r>
        <w:rPr>
          <w:rFonts w:eastAsia="仿宋" w:cs="Times New Roman"/>
          <w:snapToGrid w:val="0"/>
          <w:color w:val="000000" w:themeColor="text1"/>
          <w:spacing w:val="6"/>
          <w:kern w:val="0"/>
          <w:sz w:val="24"/>
          <w:szCs w:val="24"/>
        </w:rPr>
        <w:t>构建多元</w:t>
      </w:r>
      <w:proofErr w:type="gramEnd"/>
      <w:r>
        <w:rPr>
          <w:rFonts w:eastAsia="仿宋" w:cs="Times New Roman"/>
          <w:snapToGrid w:val="0"/>
          <w:color w:val="000000" w:themeColor="text1"/>
          <w:spacing w:val="6"/>
          <w:kern w:val="0"/>
          <w:sz w:val="24"/>
          <w:szCs w:val="24"/>
        </w:rPr>
        <w:t>绿色信贷产品矩阵。</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环境风险管理方面，本行实施动态授信策略，将客户</w:t>
      </w:r>
      <w:proofErr w:type="gramStart"/>
      <w:r>
        <w:rPr>
          <w:rFonts w:eastAsia="仿宋" w:cs="Times New Roman"/>
          <w:snapToGrid w:val="0"/>
          <w:color w:val="000000" w:themeColor="text1"/>
          <w:spacing w:val="6"/>
          <w:kern w:val="0"/>
          <w:sz w:val="24"/>
          <w:szCs w:val="24"/>
        </w:rPr>
        <w:t>按环境</w:t>
      </w:r>
      <w:proofErr w:type="gramEnd"/>
      <w:r>
        <w:rPr>
          <w:rFonts w:eastAsia="仿宋" w:cs="Times New Roman"/>
          <w:snapToGrid w:val="0"/>
          <w:color w:val="000000" w:themeColor="text1"/>
          <w:spacing w:val="6"/>
          <w:kern w:val="0"/>
          <w:sz w:val="24"/>
          <w:szCs w:val="24"/>
        </w:rPr>
        <w:t>社会风险划分为</w:t>
      </w:r>
      <w:r>
        <w:rPr>
          <w:rFonts w:eastAsia="仿宋" w:cs="Times New Roman"/>
          <w:snapToGrid w:val="0"/>
          <w:color w:val="000000" w:themeColor="text1"/>
          <w:spacing w:val="6"/>
          <w:kern w:val="0"/>
          <w:sz w:val="24"/>
          <w:szCs w:val="24"/>
        </w:rPr>
        <w:t xml:space="preserve"> A</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B</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 xml:space="preserve">C </w:t>
      </w:r>
      <w:r>
        <w:rPr>
          <w:rFonts w:eastAsia="仿宋" w:cs="Times New Roman"/>
          <w:snapToGrid w:val="0"/>
          <w:color w:val="000000" w:themeColor="text1"/>
          <w:spacing w:val="6"/>
          <w:kern w:val="0"/>
          <w:sz w:val="24"/>
          <w:szCs w:val="24"/>
        </w:rPr>
        <w:t>三类。对高风险客户名单化管理，严控</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两高一剩</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行业贷款准入，针对</w:t>
      </w:r>
      <w:r>
        <w:rPr>
          <w:rFonts w:eastAsia="仿宋" w:cs="Times New Roman"/>
          <w:snapToGrid w:val="0"/>
          <w:color w:val="000000" w:themeColor="text1"/>
          <w:spacing w:val="6"/>
          <w:kern w:val="0"/>
          <w:sz w:val="24"/>
          <w:szCs w:val="24"/>
        </w:rPr>
        <w:t xml:space="preserve"> A</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 xml:space="preserve">B </w:t>
      </w:r>
      <w:r>
        <w:rPr>
          <w:rFonts w:eastAsia="仿宋" w:cs="Times New Roman"/>
          <w:snapToGrid w:val="0"/>
          <w:color w:val="000000" w:themeColor="text1"/>
          <w:spacing w:val="6"/>
          <w:kern w:val="0"/>
          <w:sz w:val="24"/>
          <w:szCs w:val="24"/>
        </w:rPr>
        <w:t>类客户持续跟踪风险动态，评估结果深度融入信贷全流程管理，实现差异化风险管控。</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绩效考核方面，本行构建起多层级、全方位的考核框架。董事会在行长室经营目标中设立绿色金融专项指标，绩效考评纳入绿色信贷评价，同时</w:t>
      </w:r>
      <w:proofErr w:type="gramStart"/>
      <w:r>
        <w:rPr>
          <w:rFonts w:eastAsia="仿宋" w:cs="Times New Roman"/>
          <w:snapToGrid w:val="0"/>
          <w:color w:val="000000" w:themeColor="text1"/>
          <w:spacing w:val="6"/>
          <w:kern w:val="0"/>
          <w:sz w:val="24"/>
          <w:szCs w:val="24"/>
        </w:rPr>
        <w:t>设</w:t>
      </w:r>
      <w:r>
        <w:rPr>
          <w:rFonts w:eastAsia="仿宋" w:cs="Times New Roman"/>
          <w:snapToGrid w:val="0"/>
          <w:color w:val="000000" w:themeColor="text1"/>
          <w:spacing w:val="6"/>
          <w:kern w:val="0"/>
          <w:sz w:val="24"/>
          <w:szCs w:val="24"/>
        </w:rPr>
        <w:lastRenderedPageBreak/>
        <w:t>置占</w:t>
      </w:r>
      <w:proofErr w:type="gramEnd"/>
      <w:r>
        <w:rPr>
          <w:rFonts w:eastAsia="仿宋" w:cs="Times New Roman"/>
          <w:snapToGrid w:val="0"/>
          <w:color w:val="000000" w:themeColor="text1"/>
          <w:spacing w:val="6"/>
          <w:kern w:val="0"/>
          <w:sz w:val="24"/>
          <w:szCs w:val="24"/>
        </w:rPr>
        <w:t>比、增速等监测指标确保业务达标，并善用人民银行再贷款政策，强化对绿色企业的金融支持力度。</w:t>
      </w:r>
    </w:p>
    <w:p w:rsidR="00EE0247" w:rsidRDefault="007240D0">
      <w:pPr>
        <w:pStyle w:val="2"/>
        <w:rPr>
          <w:rFonts w:ascii="Times New Roman" w:hAnsi="Times New Roman" w:hint="default"/>
        </w:rPr>
      </w:pPr>
      <w:bookmarkStart w:id="8" w:name="_Toc206595309"/>
      <w:r>
        <w:rPr>
          <w:rFonts w:ascii="Times New Roman" w:hAnsi="Times New Roman" w:hint="default"/>
        </w:rPr>
        <w:t xml:space="preserve">2.4 </w:t>
      </w:r>
      <w:r>
        <w:rPr>
          <w:rFonts w:ascii="Times New Roman" w:hAnsi="Times New Roman" w:hint="default"/>
        </w:rPr>
        <w:t>行动措施</w:t>
      </w:r>
      <w:bookmarkEnd w:id="8"/>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本行紧扣</w:t>
      </w:r>
      <w:proofErr w:type="gramStart"/>
      <w:r>
        <w:rPr>
          <w:rFonts w:eastAsia="仿宋" w:cs="Times New Roman"/>
          <w:snapToGrid w:val="0"/>
          <w:color w:val="000000" w:themeColor="text1"/>
          <w:spacing w:val="6"/>
          <w:kern w:val="0"/>
          <w:sz w:val="24"/>
          <w:szCs w:val="24"/>
        </w:rPr>
        <w:t>碳达峰碳</w:t>
      </w:r>
      <w:proofErr w:type="gramEnd"/>
      <w:r>
        <w:rPr>
          <w:rFonts w:eastAsia="仿宋" w:cs="Times New Roman"/>
          <w:snapToGrid w:val="0"/>
          <w:color w:val="000000" w:themeColor="text1"/>
          <w:spacing w:val="6"/>
          <w:kern w:val="0"/>
          <w:sz w:val="24"/>
          <w:szCs w:val="24"/>
        </w:rPr>
        <w:t>中和目标与绿色金融发展战略，以构建多元化绿色金融服务体系为核心，系统性打通绿色金融供给通道，推动金融资源精准滴灌绿色低碳产业与环保整治提升项目。围绕国家</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双碳</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政策导向，重点聚焦节能环保、清洁生产、清洁能源三大支柱产业，同时大力支持绿色农业、绿色能源、绿色新兴产业等绿色高新环保领域，加速产业绿色转型进程。在农业领域，秉持绿色生态发展理念，专项配置信贷资源，支持节水灌溉技术应用、生态肥料推广、低碳循环生产模式创新，助力农业生产向资源节约型、环境友好型升级。</w:t>
      </w:r>
      <w:r>
        <w:rPr>
          <w:rFonts w:eastAsia="仿宋" w:cs="Times New Roman"/>
          <w:snapToGrid w:val="0"/>
          <w:color w:val="000000" w:themeColor="text1"/>
          <w:spacing w:val="6"/>
          <w:kern w:val="0"/>
          <w:sz w:val="24"/>
          <w:szCs w:val="24"/>
        </w:rPr>
        <w:t>​</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在政策支持体系构建上，本行实施全方位倾斜策略：产品创新层面，持续迭代升级</w:t>
      </w:r>
      <w:r>
        <w:rPr>
          <w:rFonts w:eastAsia="仿宋" w:cs="Times New Roman"/>
          <w:snapToGrid w:val="0"/>
          <w:color w:val="000000" w:themeColor="text1"/>
          <w:spacing w:val="6"/>
          <w:kern w:val="0"/>
          <w:sz w:val="24"/>
          <w:szCs w:val="24"/>
        </w:rPr>
        <w:t xml:space="preserve"> “</w:t>
      </w:r>
      <w:r>
        <w:rPr>
          <w:rFonts w:eastAsia="仿宋" w:cs="Times New Roman"/>
          <w:snapToGrid w:val="0"/>
          <w:color w:val="000000" w:themeColor="text1"/>
          <w:spacing w:val="6"/>
          <w:kern w:val="0"/>
          <w:sz w:val="24"/>
          <w:szCs w:val="24"/>
        </w:rPr>
        <w:t>环保贷</w:t>
      </w:r>
      <w:r>
        <w:rPr>
          <w:rFonts w:eastAsia="仿宋" w:cs="Times New Roman"/>
          <w:snapToGrid w:val="0"/>
          <w:color w:val="000000" w:themeColor="text1"/>
          <w:spacing w:val="6"/>
          <w:kern w:val="0"/>
          <w:sz w:val="24"/>
          <w:szCs w:val="24"/>
        </w:rPr>
        <w:t xml:space="preserve">” </w:t>
      </w:r>
      <w:r>
        <w:rPr>
          <w:rFonts w:eastAsia="仿宋" w:cs="Times New Roman"/>
          <w:snapToGrid w:val="0"/>
          <w:color w:val="000000" w:themeColor="text1"/>
          <w:spacing w:val="6"/>
          <w:kern w:val="0"/>
          <w:sz w:val="24"/>
          <w:szCs w:val="24"/>
        </w:rPr>
        <w:t>等拳头产品，优化排污权、</w:t>
      </w:r>
      <w:proofErr w:type="gramStart"/>
      <w:r>
        <w:rPr>
          <w:rFonts w:eastAsia="仿宋" w:cs="Times New Roman"/>
          <w:snapToGrid w:val="0"/>
          <w:color w:val="000000" w:themeColor="text1"/>
          <w:spacing w:val="6"/>
          <w:kern w:val="0"/>
          <w:sz w:val="24"/>
          <w:szCs w:val="24"/>
        </w:rPr>
        <w:t>碳汇预期</w:t>
      </w:r>
      <w:proofErr w:type="gramEnd"/>
      <w:r>
        <w:rPr>
          <w:rFonts w:eastAsia="仿宋" w:cs="Times New Roman"/>
          <w:snapToGrid w:val="0"/>
          <w:color w:val="000000" w:themeColor="text1"/>
          <w:spacing w:val="6"/>
          <w:kern w:val="0"/>
          <w:sz w:val="24"/>
          <w:szCs w:val="24"/>
        </w:rPr>
        <w:t>收益权质押贷款等创新融资担保模式，为企业量身定制差异化绿色信贷方案；贷款额度方面，单列绿色信贷专项额度，对重大绿色项目提供超常规授信支持；利率定价环节，推出</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碳惠利率</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机制，根据企业</w:t>
      </w:r>
      <w:proofErr w:type="gramStart"/>
      <w:r>
        <w:rPr>
          <w:rFonts w:eastAsia="仿宋" w:cs="Times New Roman"/>
          <w:snapToGrid w:val="0"/>
          <w:color w:val="000000" w:themeColor="text1"/>
          <w:spacing w:val="6"/>
          <w:kern w:val="0"/>
          <w:sz w:val="24"/>
          <w:szCs w:val="24"/>
        </w:rPr>
        <w:t>碳减排成效</w:t>
      </w:r>
      <w:proofErr w:type="gramEnd"/>
      <w:r>
        <w:rPr>
          <w:rFonts w:eastAsia="仿宋" w:cs="Times New Roman"/>
          <w:snapToGrid w:val="0"/>
          <w:color w:val="000000" w:themeColor="text1"/>
          <w:spacing w:val="6"/>
          <w:kern w:val="0"/>
          <w:sz w:val="24"/>
          <w:szCs w:val="24"/>
        </w:rPr>
        <w:t>给予阶梯式利率优惠；专线服务开通</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绿色金融服务直通车</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，组建专业服务团队，实现项目对接、审批、放款全流程提速。在同等条件下，优先保障绿色行业企业的信贷需求，确保资金高效直达绿色发展一线。</w:t>
      </w:r>
      <w:r>
        <w:rPr>
          <w:rFonts w:eastAsia="仿宋" w:cs="Times New Roman"/>
          <w:snapToGrid w:val="0"/>
          <w:color w:val="000000" w:themeColor="text1"/>
          <w:spacing w:val="6"/>
          <w:kern w:val="0"/>
          <w:sz w:val="24"/>
          <w:szCs w:val="24"/>
        </w:rPr>
        <w:t>​</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在绿色金融产品体系拓展上，除深耕</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环保贷</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等成熟产品外，进一步挖掘融资担保创新潜力，</w:t>
      </w:r>
      <w:proofErr w:type="gramStart"/>
      <w:r>
        <w:rPr>
          <w:rFonts w:eastAsia="仿宋" w:cs="Times New Roman"/>
          <w:snapToGrid w:val="0"/>
          <w:color w:val="000000" w:themeColor="text1"/>
          <w:spacing w:val="6"/>
          <w:kern w:val="0"/>
          <w:sz w:val="24"/>
          <w:szCs w:val="24"/>
        </w:rPr>
        <w:t>探索碳排放权</w:t>
      </w:r>
      <w:proofErr w:type="gramEnd"/>
      <w:r>
        <w:rPr>
          <w:rFonts w:eastAsia="仿宋" w:cs="Times New Roman"/>
          <w:snapToGrid w:val="0"/>
          <w:color w:val="000000" w:themeColor="text1"/>
          <w:spacing w:val="6"/>
          <w:kern w:val="0"/>
          <w:sz w:val="24"/>
          <w:szCs w:val="24"/>
        </w:rPr>
        <w:t>、合同能源管理收益权等新型质押方式，拓宽企业融资渠道。针对制造业智能化转型需求，依托</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智数贷</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产品，提供设备更新改造专项贷款、数字化升级贴息支持等服务，助力中小企业降本增效，推动制造业向高端化、智能化、绿色化迈进。在供应</w:t>
      </w:r>
      <w:proofErr w:type="gramStart"/>
      <w:r>
        <w:rPr>
          <w:rFonts w:eastAsia="仿宋" w:cs="Times New Roman"/>
          <w:snapToGrid w:val="0"/>
          <w:color w:val="000000" w:themeColor="text1"/>
          <w:spacing w:val="6"/>
          <w:kern w:val="0"/>
          <w:sz w:val="24"/>
          <w:szCs w:val="24"/>
        </w:rPr>
        <w:t>链金融</w:t>
      </w:r>
      <w:proofErr w:type="gramEnd"/>
      <w:r>
        <w:rPr>
          <w:rFonts w:eastAsia="仿宋" w:cs="Times New Roman"/>
          <w:snapToGrid w:val="0"/>
          <w:color w:val="000000" w:themeColor="text1"/>
          <w:spacing w:val="6"/>
          <w:kern w:val="0"/>
          <w:sz w:val="24"/>
          <w:szCs w:val="24"/>
        </w:rPr>
        <w:t>领域，创新推出农业供应链贷，以核心企业为枢纽，串联上下游绿色农业企业，构建</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生产</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加工</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销售</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全链条金融服务模式，通过订单融资、存货质押等工具，保障绿色农业产业</w:t>
      </w:r>
      <w:proofErr w:type="gramStart"/>
      <w:r>
        <w:rPr>
          <w:rFonts w:eastAsia="仿宋" w:cs="Times New Roman"/>
          <w:snapToGrid w:val="0"/>
          <w:color w:val="000000" w:themeColor="text1"/>
          <w:spacing w:val="6"/>
          <w:kern w:val="0"/>
          <w:sz w:val="24"/>
          <w:szCs w:val="24"/>
        </w:rPr>
        <w:t>链稳定</w:t>
      </w:r>
      <w:proofErr w:type="gramEnd"/>
      <w:r>
        <w:rPr>
          <w:rFonts w:eastAsia="仿宋" w:cs="Times New Roman"/>
          <w:snapToGrid w:val="0"/>
          <w:color w:val="000000" w:themeColor="text1"/>
          <w:spacing w:val="6"/>
          <w:kern w:val="0"/>
          <w:sz w:val="24"/>
          <w:szCs w:val="24"/>
        </w:rPr>
        <w:t>运行。</w:t>
      </w:r>
      <w:r>
        <w:rPr>
          <w:rFonts w:eastAsia="仿宋" w:cs="Times New Roman"/>
          <w:snapToGrid w:val="0"/>
          <w:color w:val="000000" w:themeColor="text1"/>
          <w:spacing w:val="6"/>
          <w:kern w:val="0"/>
          <w:sz w:val="24"/>
          <w:szCs w:val="24"/>
        </w:rPr>
        <w:t>​</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此外，本行建立绿色信贷全流程服务机制，对符合绿色信贷标准的客户与项目，实行</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优先授信、绿色通道、优先放款</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三优政策。从项目立项评估阶段即介入，提供融资规划咨询；优化审批流程，运用大数据、人工智能等技术，实现绿色项目快速审批；加强贷后管理，引入环境效益跟踪评估体系，确保资金切实服务于绿色发展目标，为我国绿色低碳转型贡献金融力量。</w:t>
      </w:r>
    </w:p>
    <w:p w:rsidR="00EE0247" w:rsidRDefault="007240D0">
      <w:pPr>
        <w:pStyle w:val="2"/>
        <w:rPr>
          <w:rFonts w:ascii="Times New Roman" w:hAnsi="Times New Roman" w:hint="default"/>
        </w:rPr>
      </w:pPr>
      <w:bookmarkStart w:id="9" w:name="_Toc206595310"/>
      <w:r>
        <w:rPr>
          <w:rFonts w:ascii="Times New Roman" w:hAnsi="Times New Roman" w:hint="default"/>
        </w:rPr>
        <w:t xml:space="preserve">2.5 </w:t>
      </w:r>
      <w:r>
        <w:rPr>
          <w:rFonts w:ascii="Times New Roman" w:hAnsi="Times New Roman" w:hint="default"/>
        </w:rPr>
        <w:t>主要成效</w:t>
      </w:r>
      <w:bookmarkEnd w:id="9"/>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在业务规模增长方面，成效显著。截止</w:t>
      </w:r>
      <w:r>
        <w:rPr>
          <w:rFonts w:eastAsia="仿宋" w:cs="Times New Roman"/>
          <w:snapToGrid w:val="0"/>
          <w:color w:val="000000" w:themeColor="text1"/>
          <w:spacing w:val="6"/>
          <w:kern w:val="0"/>
          <w:sz w:val="24"/>
          <w:szCs w:val="24"/>
        </w:rPr>
        <w:t>2024</w:t>
      </w:r>
      <w:r>
        <w:rPr>
          <w:rFonts w:eastAsia="仿宋" w:cs="Times New Roman"/>
          <w:snapToGrid w:val="0"/>
          <w:color w:val="000000" w:themeColor="text1"/>
          <w:spacing w:val="6"/>
          <w:kern w:val="0"/>
          <w:sz w:val="24"/>
          <w:szCs w:val="24"/>
        </w:rPr>
        <w:t>年末，本行绿色贷款较上年末上升</w:t>
      </w:r>
      <w:r>
        <w:rPr>
          <w:rFonts w:eastAsia="仿宋" w:cs="Times New Roman"/>
          <w:snapToGrid w:val="0"/>
          <w:color w:val="000000" w:themeColor="text1"/>
          <w:spacing w:val="6"/>
          <w:kern w:val="0"/>
          <w:sz w:val="24"/>
          <w:szCs w:val="24"/>
        </w:rPr>
        <w:t>1.51</w:t>
      </w:r>
      <w:r>
        <w:rPr>
          <w:rFonts w:eastAsia="仿宋" w:cs="Times New Roman"/>
          <w:snapToGrid w:val="0"/>
          <w:color w:val="000000" w:themeColor="text1"/>
          <w:spacing w:val="6"/>
          <w:kern w:val="0"/>
          <w:sz w:val="24"/>
          <w:szCs w:val="24"/>
        </w:rPr>
        <w:t>亿元，增速为</w:t>
      </w:r>
      <w:r>
        <w:rPr>
          <w:rFonts w:eastAsia="仿宋" w:cs="Times New Roman"/>
          <w:snapToGrid w:val="0"/>
          <w:color w:val="000000" w:themeColor="text1"/>
          <w:spacing w:val="6"/>
          <w:kern w:val="0"/>
          <w:sz w:val="24"/>
          <w:szCs w:val="24"/>
        </w:rPr>
        <w:t>14.92%</w:t>
      </w:r>
      <w:r>
        <w:rPr>
          <w:rFonts w:eastAsia="仿宋" w:cs="Times New Roman"/>
          <w:snapToGrid w:val="0"/>
          <w:color w:val="000000" w:themeColor="text1"/>
          <w:spacing w:val="6"/>
          <w:kern w:val="0"/>
          <w:sz w:val="24"/>
          <w:szCs w:val="24"/>
        </w:rPr>
        <w:t>，远高于各项贷款增速。</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环境信息披露方面。</w:t>
      </w:r>
      <w:r>
        <w:rPr>
          <w:rFonts w:eastAsia="仿宋" w:cs="Times New Roman"/>
          <w:snapToGrid w:val="0"/>
          <w:color w:val="000000" w:themeColor="text1"/>
          <w:spacing w:val="6"/>
          <w:kern w:val="0"/>
          <w:sz w:val="24"/>
          <w:szCs w:val="24"/>
        </w:rPr>
        <w:t>2024</w:t>
      </w:r>
      <w:r>
        <w:rPr>
          <w:rFonts w:eastAsia="仿宋" w:cs="Times New Roman"/>
          <w:snapToGrid w:val="0"/>
          <w:color w:val="000000" w:themeColor="text1"/>
          <w:spacing w:val="6"/>
          <w:kern w:val="0"/>
          <w:sz w:val="24"/>
          <w:szCs w:val="24"/>
        </w:rPr>
        <w:t>年</w:t>
      </w:r>
      <w:r>
        <w:rPr>
          <w:rFonts w:eastAsia="仿宋" w:cs="Times New Roman"/>
          <w:snapToGrid w:val="0"/>
          <w:color w:val="000000" w:themeColor="text1"/>
          <w:spacing w:val="6"/>
          <w:kern w:val="0"/>
          <w:sz w:val="24"/>
          <w:szCs w:val="24"/>
        </w:rPr>
        <w:t>4</w:t>
      </w:r>
      <w:r>
        <w:rPr>
          <w:rFonts w:eastAsia="仿宋" w:cs="Times New Roman"/>
          <w:snapToGrid w:val="0"/>
          <w:color w:val="000000" w:themeColor="text1"/>
          <w:spacing w:val="6"/>
          <w:kern w:val="0"/>
          <w:sz w:val="24"/>
          <w:szCs w:val="24"/>
        </w:rPr>
        <w:t>月，我行年报中首次加入了环境信息披露内容，本报告由中天银会计师事务所有限责任公司江苏分所审计通过，年报</w:t>
      </w:r>
      <w:r>
        <w:rPr>
          <w:rFonts w:eastAsia="仿宋" w:cs="Times New Roman"/>
          <w:snapToGrid w:val="0"/>
          <w:color w:val="000000" w:themeColor="text1"/>
          <w:spacing w:val="6"/>
          <w:kern w:val="0"/>
          <w:sz w:val="24"/>
          <w:szCs w:val="24"/>
        </w:rPr>
        <w:lastRenderedPageBreak/>
        <w:t>每年对外公布一次。</w:t>
      </w:r>
      <w:r>
        <w:rPr>
          <w:rFonts w:eastAsia="仿宋" w:cs="Times New Roman"/>
          <w:snapToGrid w:val="0"/>
          <w:color w:val="000000" w:themeColor="text1"/>
          <w:spacing w:val="6"/>
          <w:kern w:val="0"/>
          <w:sz w:val="24"/>
          <w:szCs w:val="24"/>
        </w:rPr>
        <w:t>2024</w:t>
      </w:r>
      <w:r>
        <w:rPr>
          <w:rFonts w:eastAsia="仿宋" w:cs="Times New Roman"/>
          <w:snapToGrid w:val="0"/>
          <w:color w:val="000000" w:themeColor="text1"/>
          <w:spacing w:val="6"/>
          <w:kern w:val="0"/>
          <w:sz w:val="24"/>
          <w:szCs w:val="24"/>
        </w:rPr>
        <w:t>年</w:t>
      </w:r>
      <w:r>
        <w:rPr>
          <w:rFonts w:eastAsia="仿宋" w:cs="Times New Roman"/>
          <w:snapToGrid w:val="0"/>
          <w:color w:val="000000" w:themeColor="text1"/>
          <w:spacing w:val="6"/>
          <w:kern w:val="0"/>
          <w:sz w:val="24"/>
          <w:szCs w:val="24"/>
        </w:rPr>
        <w:t>9</w:t>
      </w:r>
      <w:r>
        <w:rPr>
          <w:rFonts w:eastAsia="仿宋" w:cs="Times New Roman"/>
          <w:snapToGrid w:val="0"/>
          <w:color w:val="000000" w:themeColor="text1"/>
          <w:spacing w:val="6"/>
          <w:kern w:val="0"/>
          <w:sz w:val="24"/>
          <w:szCs w:val="24"/>
        </w:rPr>
        <w:t>月，我行单独发布的环境信息披露报告，并在本行官方网站予以正式披露。报告阐述了我行</w:t>
      </w:r>
      <w:r>
        <w:rPr>
          <w:rFonts w:eastAsia="仿宋" w:cs="Times New Roman"/>
          <w:snapToGrid w:val="0"/>
          <w:color w:val="000000" w:themeColor="text1"/>
          <w:spacing w:val="6"/>
          <w:kern w:val="0"/>
          <w:sz w:val="24"/>
          <w:szCs w:val="24"/>
        </w:rPr>
        <w:t>2023</w:t>
      </w:r>
      <w:r>
        <w:rPr>
          <w:rFonts w:eastAsia="仿宋" w:cs="Times New Roman"/>
          <w:snapToGrid w:val="0"/>
          <w:color w:val="000000" w:themeColor="text1"/>
          <w:spacing w:val="6"/>
          <w:kern w:val="0"/>
          <w:sz w:val="24"/>
          <w:szCs w:val="24"/>
        </w:rPr>
        <w:t>年度在环境信息披露方面的主要工作和成效，回应监管机构和各利益相关方的期望与关注，全面展示我</w:t>
      </w:r>
      <w:proofErr w:type="gramStart"/>
      <w:r>
        <w:rPr>
          <w:rFonts w:eastAsia="仿宋" w:cs="Times New Roman"/>
          <w:snapToGrid w:val="0"/>
          <w:color w:val="000000" w:themeColor="text1"/>
          <w:spacing w:val="6"/>
          <w:kern w:val="0"/>
          <w:sz w:val="24"/>
          <w:szCs w:val="24"/>
        </w:rPr>
        <w:t>行环境</w:t>
      </w:r>
      <w:proofErr w:type="gramEnd"/>
      <w:r>
        <w:rPr>
          <w:rFonts w:eastAsia="仿宋" w:cs="Times New Roman"/>
          <w:snapToGrid w:val="0"/>
          <w:color w:val="000000" w:themeColor="text1"/>
          <w:spacing w:val="6"/>
          <w:kern w:val="0"/>
          <w:sz w:val="24"/>
          <w:szCs w:val="24"/>
        </w:rPr>
        <w:t>信息披露方面的积极态度与行动。</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金融科技运用情况。为确保环境信息披露工作的有效实施，我行聘请江苏</w:t>
      </w:r>
      <w:proofErr w:type="gramStart"/>
      <w:r>
        <w:rPr>
          <w:rFonts w:eastAsia="仿宋" w:cs="Times New Roman"/>
          <w:snapToGrid w:val="0"/>
          <w:color w:val="000000" w:themeColor="text1"/>
          <w:spacing w:val="6"/>
          <w:kern w:val="0"/>
          <w:sz w:val="24"/>
          <w:szCs w:val="24"/>
        </w:rPr>
        <w:t>高领碳信工业</w:t>
      </w:r>
      <w:proofErr w:type="gramEnd"/>
      <w:r>
        <w:rPr>
          <w:rFonts w:eastAsia="仿宋" w:cs="Times New Roman"/>
          <w:snapToGrid w:val="0"/>
          <w:color w:val="000000" w:themeColor="text1"/>
          <w:spacing w:val="6"/>
          <w:kern w:val="0"/>
          <w:sz w:val="24"/>
          <w:szCs w:val="24"/>
        </w:rPr>
        <w:t>互联网有限公司开发</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金融碳核算系统</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，将采集的数据通过系统进行数据运算与核查，并生成相关碳核算报告。</w:t>
      </w:r>
      <w:r>
        <w:rPr>
          <w:rFonts w:eastAsia="仿宋" w:cs="Times New Roman"/>
          <w:snapToGrid w:val="0"/>
          <w:color w:val="000000" w:themeColor="text1"/>
          <w:spacing w:val="6"/>
          <w:kern w:val="0"/>
          <w:sz w:val="24"/>
          <w:szCs w:val="24"/>
        </w:rPr>
        <w:t>2024</w:t>
      </w:r>
      <w:r>
        <w:rPr>
          <w:rFonts w:eastAsia="仿宋" w:cs="Times New Roman"/>
          <w:snapToGrid w:val="0"/>
          <w:color w:val="000000" w:themeColor="text1"/>
          <w:spacing w:val="6"/>
          <w:kern w:val="0"/>
          <w:sz w:val="24"/>
          <w:szCs w:val="24"/>
        </w:rPr>
        <w:t>年，我行完成了自身经营范围一、范围二、范围三（不含投融资）的核算。此外，单独核算了投融资企业的碳排放。</w:t>
      </w:r>
    </w:p>
    <w:p w:rsidR="00EE0247" w:rsidRDefault="00EE0247"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p>
    <w:p w:rsidR="00EE0247" w:rsidRDefault="00EE0247"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p>
    <w:p w:rsidR="00EE0247" w:rsidRDefault="00EE0247"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p>
    <w:p w:rsidR="00EE0247" w:rsidRDefault="00EE0247"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p>
    <w:p w:rsidR="00EE0247" w:rsidRDefault="00EE0247" w:rsidP="00D61DDB">
      <w:pPr>
        <w:pStyle w:val="a3"/>
        <w:ind w:firstLine="640"/>
        <w:rPr>
          <w:rFonts w:cs="Times New Roman"/>
        </w:rPr>
      </w:pPr>
    </w:p>
    <w:p w:rsidR="00EE0247" w:rsidRDefault="007240D0">
      <w:pPr>
        <w:ind w:firstLine="504"/>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br w:type="page"/>
      </w:r>
    </w:p>
    <w:p w:rsidR="00EE0247" w:rsidRDefault="007240D0">
      <w:pPr>
        <w:pStyle w:val="1"/>
        <w:rPr>
          <w:rFonts w:cs="Times New Roman"/>
        </w:rPr>
      </w:pPr>
      <w:bookmarkStart w:id="10" w:name="_Toc206595311"/>
      <w:r>
        <w:rPr>
          <w:rFonts w:cs="Times New Roman"/>
        </w:rPr>
        <w:lastRenderedPageBreak/>
        <w:t>第三章</w:t>
      </w:r>
      <w:r>
        <w:rPr>
          <w:rFonts w:cs="Times New Roman"/>
        </w:rPr>
        <w:t xml:space="preserve"> </w:t>
      </w:r>
      <w:r>
        <w:rPr>
          <w:rFonts w:cs="Times New Roman"/>
        </w:rPr>
        <w:t>治理结构</w:t>
      </w:r>
      <w:bookmarkEnd w:id="10"/>
    </w:p>
    <w:p w:rsidR="00EE0247" w:rsidRDefault="007240D0">
      <w:pPr>
        <w:pStyle w:val="2"/>
        <w:rPr>
          <w:rFonts w:ascii="Times New Roman" w:hAnsi="Times New Roman" w:hint="default"/>
        </w:rPr>
      </w:pPr>
      <w:bookmarkStart w:id="11" w:name="_Toc206595312"/>
      <w:r>
        <w:rPr>
          <w:rFonts w:ascii="Times New Roman" w:hAnsi="Times New Roman" w:hint="default"/>
        </w:rPr>
        <w:t xml:space="preserve">3.1 </w:t>
      </w:r>
      <w:r>
        <w:rPr>
          <w:rFonts w:ascii="Times New Roman" w:hAnsi="Times New Roman" w:hint="default"/>
        </w:rPr>
        <w:t>董事会层</w:t>
      </w:r>
      <w:bookmarkEnd w:id="11"/>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董事会由</w:t>
      </w:r>
      <w:r>
        <w:rPr>
          <w:rFonts w:eastAsia="仿宋" w:cs="Times New Roman"/>
          <w:snapToGrid w:val="0"/>
          <w:color w:val="000000" w:themeColor="text1"/>
          <w:spacing w:val="6"/>
          <w:kern w:val="0"/>
          <w:sz w:val="24"/>
          <w:szCs w:val="24"/>
        </w:rPr>
        <w:t>11</w:t>
      </w:r>
      <w:r>
        <w:rPr>
          <w:rFonts w:eastAsia="仿宋" w:cs="Times New Roman"/>
          <w:snapToGrid w:val="0"/>
          <w:color w:val="000000" w:themeColor="text1"/>
          <w:spacing w:val="6"/>
          <w:kern w:val="0"/>
          <w:sz w:val="24"/>
          <w:szCs w:val="24"/>
        </w:rPr>
        <w:t>名董事组成，其中独立董事</w:t>
      </w:r>
      <w:r>
        <w:rPr>
          <w:rFonts w:eastAsia="仿宋" w:cs="Times New Roman"/>
          <w:snapToGrid w:val="0"/>
          <w:color w:val="000000" w:themeColor="text1"/>
          <w:spacing w:val="6"/>
          <w:kern w:val="0"/>
          <w:sz w:val="24"/>
          <w:szCs w:val="24"/>
        </w:rPr>
        <w:t>3</w:t>
      </w:r>
      <w:r>
        <w:rPr>
          <w:rFonts w:eastAsia="仿宋" w:cs="Times New Roman"/>
          <w:snapToGrid w:val="0"/>
          <w:color w:val="000000" w:themeColor="text1"/>
          <w:spacing w:val="6"/>
          <w:kern w:val="0"/>
          <w:sz w:val="24"/>
          <w:szCs w:val="24"/>
        </w:rPr>
        <w:t>名。本行董事会严格按照《公司章程》、《董事会议事规则》的要求开展工作。报告期内，本行共召开董事会会议</w:t>
      </w:r>
      <w:r>
        <w:rPr>
          <w:rFonts w:eastAsia="仿宋" w:cs="Times New Roman"/>
          <w:snapToGrid w:val="0"/>
          <w:color w:val="000000" w:themeColor="text1"/>
          <w:spacing w:val="6"/>
          <w:kern w:val="0"/>
          <w:sz w:val="24"/>
          <w:szCs w:val="24"/>
        </w:rPr>
        <w:t>10</w:t>
      </w:r>
      <w:r>
        <w:rPr>
          <w:rFonts w:eastAsia="仿宋" w:cs="Times New Roman"/>
          <w:snapToGrid w:val="0"/>
          <w:color w:val="000000" w:themeColor="text1"/>
          <w:spacing w:val="6"/>
          <w:kern w:val="0"/>
          <w:sz w:val="24"/>
          <w:szCs w:val="24"/>
        </w:rPr>
        <w:t>次，董事会下设审计委员会、风险管理委员会、关联交易控制委员会、提名与薪酬委员会，战略与三</w:t>
      </w:r>
      <w:proofErr w:type="gramStart"/>
      <w:r>
        <w:rPr>
          <w:rFonts w:eastAsia="仿宋" w:cs="Times New Roman"/>
          <w:snapToGrid w:val="0"/>
          <w:color w:val="000000" w:themeColor="text1"/>
          <w:spacing w:val="6"/>
          <w:kern w:val="0"/>
          <w:sz w:val="24"/>
          <w:szCs w:val="24"/>
        </w:rPr>
        <w:t>农金融</w:t>
      </w:r>
      <w:proofErr w:type="gramEnd"/>
      <w:r>
        <w:rPr>
          <w:rFonts w:eastAsia="仿宋" w:cs="Times New Roman"/>
          <w:snapToGrid w:val="0"/>
          <w:color w:val="000000" w:themeColor="text1"/>
          <w:spacing w:val="6"/>
          <w:kern w:val="0"/>
          <w:sz w:val="24"/>
          <w:szCs w:val="24"/>
        </w:rPr>
        <w:t>服务委员会、金融消费者权益保护委员会、数字化转型委员会。报告期内，董事会各专门委员会依据各自的工作职责认真开展绿色金融方面的工作。</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董事会负责制定环境风险管理战略，监督本行环境风险管理及内部控制系统，并评估全行总体风险；高级管理层根据董事会制定的风险管理战略，制定并推动执行相应的风险管理政策、制度和程序；风险管理部、授信管理部、公司业务部、计划财务部等部门共同构成本行风险管理的主要职能部门，具体执行各项风险管理的政策和制度；审计稽核部门负责对本行的风险管理和控制环境进行独立的复核。</w:t>
      </w:r>
    </w:p>
    <w:p w:rsidR="00EE0247" w:rsidRDefault="007240D0">
      <w:pPr>
        <w:pStyle w:val="2"/>
        <w:rPr>
          <w:rFonts w:ascii="Times New Roman" w:hAnsi="Times New Roman" w:hint="default"/>
        </w:rPr>
      </w:pPr>
      <w:bookmarkStart w:id="12" w:name="_Toc206595313"/>
      <w:r>
        <w:rPr>
          <w:rFonts w:ascii="Times New Roman" w:hAnsi="Times New Roman" w:hint="default"/>
        </w:rPr>
        <w:t xml:space="preserve">3.2 </w:t>
      </w:r>
      <w:r>
        <w:rPr>
          <w:rFonts w:ascii="Times New Roman" w:hAnsi="Times New Roman" w:hint="default"/>
        </w:rPr>
        <w:t>高级管理层</w:t>
      </w:r>
      <w:bookmarkEnd w:id="12"/>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本行行长室由</w:t>
      </w:r>
      <w:r>
        <w:rPr>
          <w:rFonts w:eastAsia="仿宋" w:cs="Times New Roman"/>
          <w:snapToGrid w:val="0"/>
          <w:color w:val="000000" w:themeColor="text1"/>
          <w:spacing w:val="6"/>
          <w:kern w:val="0"/>
          <w:sz w:val="24"/>
          <w:szCs w:val="24"/>
        </w:rPr>
        <w:t>1</w:t>
      </w:r>
      <w:r>
        <w:rPr>
          <w:rFonts w:eastAsia="仿宋" w:cs="Times New Roman"/>
          <w:snapToGrid w:val="0"/>
          <w:color w:val="000000" w:themeColor="text1"/>
          <w:spacing w:val="6"/>
          <w:kern w:val="0"/>
          <w:sz w:val="24"/>
          <w:szCs w:val="24"/>
        </w:rPr>
        <w:t>名行长、</w:t>
      </w:r>
      <w:r>
        <w:rPr>
          <w:rFonts w:eastAsia="仿宋" w:cs="Times New Roman"/>
          <w:snapToGrid w:val="0"/>
          <w:color w:val="000000" w:themeColor="text1"/>
          <w:spacing w:val="6"/>
          <w:kern w:val="0"/>
          <w:sz w:val="24"/>
          <w:szCs w:val="24"/>
        </w:rPr>
        <w:t>4</w:t>
      </w:r>
      <w:r>
        <w:rPr>
          <w:rFonts w:eastAsia="仿宋" w:cs="Times New Roman"/>
          <w:snapToGrid w:val="0"/>
          <w:color w:val="000000" w:themeColor="text1"/>
          <w:spacing w:val="6"/>
          <w:kern w:val="0"/>
          <w:sz w:val="24"/>
          <w:szCs w:val="24"/>
        </w:rPr>
        <w:t>名副行长组成。行长室下设</w:t>
      </w:r>
      <w:r>
        <w:rPr>
          <w:rFonts w:eastAsia="仿宋" w:cs="Times New Roman"/>
          <w:snapToGrid w:val="0"/>
          <w:color w:val="000000" w:themeColor="text1"/>
          <w:spacing w:val="6"/>
          <w:kern w:val="0"/>
          <w:sz w:val="24"/>
          <w:szCs w:val="24"/>
        </w:rPr>
        <w:t>7</w:t>
      </w:r>
      <w:r>
        <w:rPr>
          <w:rFonts w:eastAsia="仿宋" w:cs="Times New Roman"/>
          <w:snapToGrid w:val="0"/>
          <w:color w:val="000000" w:themeColor="text1"/>
          <w:spacing w:val="6"/>
          <w:kern w:val="0"/>
          <w:sz w:val="24"/>
          <w:szCs w:val="24"/>
        </w:rPr>
        <w:t>个专门委员会、</w:t>
      </w:r>
      <w:r>
        <w:rPr>
          <w:rFonts w:eastAsia="仿宋" w:cs="Times New Roman"/>
          <w:snapToGrid w:val="0"/>
          <w:color w:val="000000" w:themeColor="text1"/>
          <w:spacing w:val="6"/>
          <w:kern w:val="0"/>
          <w:sz w:val="24"/>
          <w:szCs w:val="24"/>
        </w:rPr>
        <w:t>18</w:t>
      </w:r>
      <w:r>
        <w:rPr>
          <w:rFonts w:eastAsia="仿宋" w:cs="Times New Roman"/>
          <w:snapToGrid w:val="0"/>
          <w:color w:val="000000" w:themeColor="text1"/>
          <w:spacing w:val="6"/>
          <w:kern w:val="0"/>
          <w:sz w:val="24"/>
          <w:szCs w:val="24"/>
        </w:rPr>
        <w:t>个职能部门以及</w:t>
      </w:r>
      <w:r>
        <w:rPr>
          <w:rFonts w:eastAsia="仿宋" w:cs="Times New Roman"/>
          <w:snapToGrid w:val="0"/>
          <w:color w:val="000000" w:themeColor="text1"/>
          <w:spacing w:val="6"/>
          <w:kern w:val="0"/>
          <w:sz w:val="24"/>
          <w:szCs w:val="24"/>
        </w:rPr>
        <w:t>1</w:t>
      </w:r>
      <w:r>
        <w:rPr>
          <w:rFonts w:eastAsia="仿宋" w:cs="Times New Roman"/>
          <w:snapToGrid w:val="0"/>
          <w:color w:val="000000" w:themeColor="text1"/>
          <w:spacing w:val="6"/>
          <w:kern w:val="0"/>
          <w:sz w:val="24"/>
          <w:szCs w:val="24"/>
        </w:rPr>
        <w:t>个营业部和</w:t>
      </w:r>
      <w:r>
        <w:rPr>
          <w:rFonts w:eastAsia="仿宋" w:cs="Times New Roman"/>
          <w:snapToGrid w:val="0"/>
          <w:color w:val="000000" w:themeColor="text1"/>
          <w:spacing w:val="6"/>
          <w:kern w:val="0"/>
          <w:sz w:val="24"/>
          <w:szCs w:val="24"/>
        </w:rPr>
        <w:t>35</w:t>
      </w:r>
      <w:r>
        <w:rPr>
          <w:rFonts w:eastAsia="仿宋" w:cs="Times New Roman"/>
          <w:snapToGrid w:val="0"/>
          <w:color w:val="000000" w:themeColor="text1"/>
          <w:spacing w:val="6"/>
          <w:kern w:val="0"/>
          <w:sz w:val="24"/>
          <w:szCs w:val="24"/>
        </w:rPr>
        <w:t>个分支机构。</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高级管理层认真执行董事会决议，根据董事会的决定和银行整体战略，制定具体的绿色金融发展目标，协调统筹推进绿色金融相关工作，并定期向董事会、监管机构报告绿色金融工作情况，接受监督和管理。高级管理层还通过内部会议、报告等形式，向银行内部各部门、各分支机构传达绿色金融政策、目标和要求，确保全行上下对绿色金融工作有统一的认识和行动。</w:t>
      </w:r>
    </w:p>
    <w:p w:rsidR="00EE0247" w:rsidRDefault="007240D0">
      <w:pPr>
        <w:pStyle w:val="2"/>
        <w:rPr>
          <w:rFonts w:ascii="Times New Roman" w:hAnsi="Times New Roman" w:hint="default"/>
        </w:rPr>
      </w:pPr>
      <w:bookmarkStart w:id="13" w:name="_Toc206595314"/>
      <w:r>
        <w:rPr>
          <w:rFonts w:ascii="Times New Roman" w:hAnsi="Times New Roman" w:hint="default"/>
        </w:rPr>
        <w:t xml:space="preserve">3.3 </w:t>
      </w:r>
      <w:r>
        <w:rPr>
          <w:rFonts w:ascii="Times New Roman" w:hAnsi="Times New Roman" w:hint="default"/>
        </w:rPr>
        <w:t>专业执行层</w:t>
      </w:r>
      <w:bookmarkEnd w:id="13"/>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本行各相关部门将绿色金融融入日常工作中，主要职责包括负责具体执行和实施高级管理层制定的绿色金融策略与目标，开发创新绿色金融产品，管理绿色信贷项目，评估环境风险，确保业务操作符合环保法规，推动银行内部绿色金融文化的普及，以及配合内外部审计与监管要求，有效提升银行在绿色金融领域的专业执行能力和市场竞争力。</w:t>
      </w:r>
    </w:p>
    <w:p w:rsidR="00EE0247" w:rsidRDefault="007240D0">
      <w:pPr>
        <w:ind w:firstLineChars="0" w:firstLine="0"/>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br w:type="page"/>
      </w:r>
    </w:p>
    <w:p w:rsidR="00EE0247" w:rsidRDefault="007240D0">
      <w:pPr>
        <w:pStyle w:val="1"/>
        <w:rPr>
          <w:rFonts w:cs="Times New Roman"/>
        </w:rPr>
      </w:pPr>
      <w:bookmarkStart w:id="14" w:name="_Toc206595315"/>
      <w:r>
        <w:rPr>
          <w:rFonts w:cs="Times New Roman"/>
        </w:rPr>
        <w:lastRenderedPageBreak/>
        <w:t>第四章</w:t>
      </w:r>
      <w:r>
        <w:rPr>
          <w:rFonts w:cs="Times New Roman"/>
        </w:rPr>
        <w:t xml:space="preserve"> </w:t>
      </w:r>
      <w:r>
        <w:rPr>
          <w:rFonts w:cs="Times New Roman"/>
        </w:rPr>
        <w:t>政策制度</w:t>
      </w:r>
      <w:bookmarkEnd w:id="14"/>
    </w:p>
    <w:p w:rsidR="00EE0247" w:rsidRDefault="007240D0">
      <w:pPr>
        <w:pStyle w:val="2"/>
        <w:rPr>
          <w:rFonts w:ascii="Times New Roman" w:hAnsi="Times New Roman" w:hint="default"/>
        </w:rPr>
      </w:pPr>
      <w:bookmarkStart w:id="15" w:name="_Toc206595316"/>
      <w:r>
        <w:rPr>
          <w:rFonts w:ascii="Times New Roman" w:hAnsi="Times New Roman" w:hint="default"/>
        </w:rPr>
        <w:t xml:space="preserve">4.1 </w:t>
      </w:r>
      <w:r>
        <w:rPr>
          <w:rFonts w:ascii="Times New Roman" w:hAnsi="Times New Roman" w:hint="default"/>
        </w:rPr>
        <w:t>公司政策</w:t>
      </w:r>
      <w:bookmarkEnd w:id="15"/>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spacing w:val="6"/>
          <w:kern w:val="0"/>
          <w:sz w:val="24"/>
          <w:szCs w:val="24"/>
        </w:rPr>
      </w:pPr>
      <w:r>
        <w:rPr>
          <w:rFonts w:eastAsia="仿宋" w:cs="Times New Roman"/>
          <w:snapToGrid w:val="0"/>
          <w:spacing w:val="6"/>
          <w:kern w:val="0"/>
          <w:sz w:val="24"/>
          <w:szCs w:val="24"/>
        </w:rPr>
        <w:t>本行制定了绿色信贷管理办法，从战略高度推进绿色信贷，加大对绿色经济、低碳经济、循环经济的支持，对于国家高污染、高耗能和产能过剩行业要加强对贷款风险的防范和控制，严把贷款准入关，防范环境和社会风险，提升自身的环境和社会表现，并以此优化信贷结构，提高服务水平，促进发展方式转变。</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环保贷</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业务管理办法》，为进一步做好绿色信贷服务工作，增强服务地方、服务实体经济的能力，加强</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环保贷</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业务管理，规范业务操作流程，促进业务健康发展，根据等国家法律法规以及监管部门、省联社有关信贷业务管理制度，结合本行实际情况，制订本办法。</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碳汇预期收益权质押贷款</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业务管理办法（试行）》，为贯彻新发展理念，落实党中央、国务院</w:t>
      </w:r>
      <w:proofErr w:type="gramStart"/>
      <w:r>
        <w:rPr>
          <w:rFonts w:eastAsia="仿宋" w:cs="Times New Roman"/>
          <w:snapToGrid w:val="0"/>
          <w:color w:val="000000" w:themeColor="text1"/>
          <w:spacing w:val="6"/>
          <w:kern w:val="0"/>
          <w:sz w:val="24"/>
          <w:szCs w:val="24"/>
        </w:rPr>
        <w:t>关于碳达峰</w:t>
      </w:r>
      <w:proofErr w:type="gramEnd"/>
      <w:r>
        <w:rPr>
          <w:rFonts w:eastAsia="仿宋" w:cs="Times New Roman"/>
          <w:snapToGrid w:val="0"/>
          <w:color w:val="000000" w:themeColor="text1"/>
          <w:spacing w:val="6"/>
          <w:kern w:val="0"/>
          <w:sz w:val="24"/>
          <w:szCs w:val="24"/>
        </w:rPr>
        <w:t>、碳中和重大战略决策部署，积极发挥绿色金融在推动经济社会发展全面绿色转型中的作用，切实提升</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本行</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金融服务水平，结合国家法律法规以及监管部门、本行有关信贷业务管理制度，制定本办法。</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排权贷</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业务管理办法》，为提升绿色信贷服务水平，丰富绿色金融产品体系，规范本行排污权抵押贷款管理，根据等相关规定，结合本行实际，制定本办法。</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光伏贷</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贷款业务管理办法》，为落实《国务院关于促进光伏产业健康发展的若干意见》和《江苏省促进光伏产业健康发展实施办法》，规范本行</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光伏贷</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贷款业务的操作，大力开拓分布式光伏发电市场，鼓励各类电力用户建设分布式光伏发电系统，努力拓展本行客户群体，有效防范信贷风险，促进</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光伏贷</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业务健康发展，根据相关法律法规及本行信贷管理制度规定，特制定本办法。</w:t>
      </w:r>
    </w:p>
    <w:p w:rsidR="00EE0247" w:rsidRDefault="007240D0">
      <w:pPr>
        <w:pStyle w:val="2"/>
        <w:rPr>
          <w:rFonts w:ascii="Times New Roman" w:hAnsi="Times New Roman" w:hint="default"/>
        </w:rPr>
      </w:pPr>
      <w:bookmarkStart w:id="16" w:name="_Toc206595317"/>
      <w:r>
        <w:rPr>
          <w:rFonts w:ascii="Times New Roman" w:hAnsi="Times New Roman" w:hint="default"/>
        </w:rPr>
        <w:t xml:space="preserve">4.2 </w:t>
      </w:r>
      <w:r>
        <w:rPr>
          <w:rFonts w:ascii="Times New Roman" w:hAnsi="Times New Roman" w:hint="default"/>
        </w:rPr>
        <w:t>国内政策</w:t>
      </w:r>
      <w:bookmarkEnd w:id="16"/>
    </w:p>
    <w:p w:rsidR="00EE0247" w:rsidRDefault="007240D0" w:rsidP="00D241E6">
      <w:pPr>
        <w:widowControl/>
        <w:kinsoku w:val="0"/>
        <w:autoSpaceDE w:val="0"/>
        <w:autoSpaceDN w:val="0"/>
        <w:adjustRightInd w:val="0"/>
        <w:snapToGrid w:val="0"/>
        <w:spacing w:beforeLines="50" w:line="240" w:lineRule="auto"/>
        <w:ind w:firstLine="480"/>
        <w:textAlignment w:val="baseline"/>
        <w:rPr>
          <w:rFonts w:eastAsia="黑体" w:cs="Times New Roman"/>
          <w:color w:val="000000" w:themeColor="text1"/>
          <w:sz w:val="24"/>
          <w:szCs w:val="24"/>
        </w:rPr>
      </w:pPr>
      <w:r>
        <w:rPr>
          <w:rFonts w:eastAsia="黑体" w:cs="Times New Roman"/>
          <w:color w:val="000000" w:themeColor="text1"/>
          <w:sz w:val="24"/>
          <w:szCs w:val="24"/>
        </w:rPr>
        <w:t xml:space="preserve">4.2.1 </w:t>
      </w:r>
      <w:r>
        <w:rPr>
          <w:rFonts w:eastAsia="黑体" w:cs="Times New Roman"/>
          <w:color w:val="000000" w:themeColor="text1"/>
          <w:sz w:val="24"/>
          <w:szCs w:val="24"/>
        </w:rPr>
        <w:t>国家相关政策法规和标准</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spacing w:val="6"/>
          <w:kern w:val="0"/>
          <w:sz w:val="24"/>
          <w:szCs w:val="24"/>
        </w:rPr>
      </w:pPr>
      <w:r>
        <w:rPr>
          <w:rFonts w:eastAsia="仿宋" w:cs="Times New Roman"/>
          <w:snapToGrid w:val="0"/>
          <w:spacing w:val="6"/>
          <w:kern w:val="0"/>
          <w:sz w:val="24"/>
          <w:szCs w:val="24"/>
        </w:rPr>
        <w:t>原银监会发布了《绿色信贷指引》，推动银行业金融机构以绿色信贷为抓手，积极调整信贷结构，有效防范环境和社会风险，更好地服务实体经济，促进经济发展方式转变和经济结构调整。</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spacing w:val="6"/>
          <w:kern w:val="0"/>
          <w:sz w:val="24"/>
          <w:szCs w:val="24"/>
        </w:rPr>
      </w:pPr>
      <w:r>
        <w:rPr>
          <w:rFonts w:eastAsia="仿宋" w:cs="Times New Roman"/>
          <w:snapToGrid w:val="0"/>
          <w:spacing w:val="6"/>
          <w:kern w:val="0"/>
          <w:sz w:val="24"/>
          <w:szCs w:val="24"/>
        </w:rPr>
        <w:t>中国人民银行等七部门发布《关于构建绿色金融体系的指导意见》明确绿色金融体系相关定义、内涵和重大意义，提出大力发展绿色信贷，推动证券市场支持绿色投资，发展绿色基金、保险，完善权益交易市场，支持地方发展绿色金融等。</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spacing w:val="6"/>
          <w:kern w:val="0"/>
          <w:sz w:val="24"/>
          <w:szCs w:val="24"/>
        </w:rPr>
      </w:pPr>
      <w:r>
        <w:rPr>
          <w:rFonts w:eastAsia="仿宋" w:cs="Times New Roman"/>
          <w:snapToGrid w:val="0"/>
          <w:spacing w:val="6"/>
          <w:kern w:val="0"/>
          <w:sz w:val="24"/>
          <w:szCs w:val="24"/>
        </w:rPr>
        <w:lastRenderedPageBreak/>
        <w:t>生态环境部等五部门发布《关于促进应对气候变化投融资的指导意见》，明确气候投融资的定义、支持范围和总体目标，加快构建气候投融资政策体系，逐步完善气候投融资标准体系，鼓励引导民间投资，引导支持气候投融资地方实践。</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spacing w:val="6"/>
          <w:kern w:val="0"/>
          <w:sz w:val="24"/>
          <w:szCs w:val="24"/>
        </w:rPr>
      </w:pPr>
      <w:r>
        <w:rPr>
          <w:rFonts w:eastAsia="仿宋" w:cs="Times New Roman"/>
          <w:snapToGrid w:val="0"/>
          <w:spacing w:val="6"/>
          <w:kern w:val="0"/>
          <w:sz w:val="24"/>
          <w:szCs w:val="24"/>
        </w:rPr>
        <w:t>央行等四部门发布《金融标准化</w:t>
      </w:r>
      <w:r>
        <w:rPr>
          <w:rFonts w:eastAsia="仿宋" w:cs="Times New Roman"/>
          <w:snapToGrid w:val="0"/>
          <w:spacing w:val="6"/>
          <w:kern w:val="0"/>
          <w:sz w:val="24"/>
          <w:szCs w:val="24"/>
        </w:rPr>
        <w:t>“</w:t>
      </w:r>
      <w:r>
        <w:rPr>
          <w:rFonts w:eastAsia="仿宋" w:cs="Times New Roman"/>
          <w:snapToGrid w:val="0"/>
          <w:spacing w:val="6"/>
          <w:kern w:val="0"/>
          <w:sz w:val="24"/>
          <w:szCs w:val="24"/>
        </w:rPr>
        <w:t>十四五</w:t>
      </w:r>
      <w:r>
        <w:rPr>
          <w:rFonts w:eastAsia="仿宋" w:cs="Times New Roman"/>
          <w:snapToGrid w:val="0"/>
          <w:spacing w:val="6"/>
          <w:kern w:val="0"/>
          <w:sz w:val="24"/>
          <w:szCs w:val="24"/>
        </w:rPr>
        <w:t>”</w:t>
      </w:r>
      <w:r>
        <w:rPr>
          <w:rFonts w:eastAsia="仿宋" w:cs="Times New Roman"/>
          <w:snapToGrid w:val="0"/>
          <w:spacing w:val="6"/>
          <w:kern w:val="0"/>
          <w:sz w:val="24"/>
          <w:szCs w:val="24"/>
        </w:rPr>
        <w:t>发展规划》提出加快建设绿色金融标准体系，丰富绿色金融产品与服务标准，研究制定金融机构碳排放核算标准。加快制定上市公司，发债企业环境信息披露标准，建立环境、社会和治理（</w:t>
      </w:r>
      <w:r>
        <w:rPr>
          <w:rFonts w:eastAsia="仿宋" w:cs="Times New Roman"/>
          <w:snapToGrid w:val="0"/>
          <w:spacing w:val="6"/>
          <w:kern w:val="0"/>
          <w:sz w:val="24"/>
          <w:szCs w:val="24"/>
        </w:rPr>
        <w:t>ESG</w:t>
      </w:r>
      <w:r>
        <w:rPr>
          <w:rFonts w:eastAsia="仿宋" w:cs="Times New Roman"/>
          <w:snapToGrid w:val="0"/>
          <w:spacing w:val="6"/>
          <w:kern w:val="0"/>
          <w:sz w:val="24"/>
          <w:szCs w:val="24"/>
        </w:rPr>
        <w:t>）评级标准体系，探索制定</w:t>
      </w:r>
      <w:proofErr w:type="gramStart"/>
      <w:r>
        <w:rPr>
          <w:rFonts w:eastAsia="仿宋" w:cs="Times New Roman"/>
          <w:snapToGrid w:val="0"/>
          <w:spacing w:val="6"/>
          <w:kern w:val="0"/>
          <w:sz w:val="24"/>
          <w:szCs w:val="24"/>
        </w:rPr>
        <w:t>碳金融</w:t>
      </w:r>
      <w:proofErr w:type="gramEnd"/>
      <w:r>
        <w:rPr>
          <w:rFonts w:eastAsia="仿宋" w:cs="Times New Roman"/>
          <w:snapToGrid w:val="0"/>
          <w:spacing w:val="6"/>
          <w:kern w:val="0"/>
          <w:sz w:val="24"/>
          <w:szCs w:val="24"/>
        </w:rPr>
        <w:t>产品相关标准，助力金融支持</w:t>
      </w:r>
      <w:proofErr w:type="gramStart"/>
      <w:r>
        <w:rPr>
          <w:rFonts w:eastAsia="仿宋" w:cs="Times New Roman"/>
          <w:snapToGrid w:val="0"/>
          <w:spacing w:val="6"/>
          <w:kern w:val="0"/>
          <w:sz w:val="24"/>
          <w:szCs w:val="24"/>
        </w:rPr>
        <w:t>碳市场</w:t>
      </w:r>
      <w:proofErr w:type="gramEnd"/>
      <w:r>
        <w:rPr>
          <w:rFonts w:eastAsia="仿宋" w:cs="Times New Roman"/>
          <w:snapToGrid w:val="0"/>
          <w:spacing w:val="6"/>
          <w:kern w:val="0"/>
          <w:sz w:val="24"/>
          <w:szCs w:val="24"/>
        </w:rPr>
        <w:t>建设。</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spacing w:val="6"/>
          <w:kern w:val="0"/>
          <w:sz w:val="24"/>
          <w:szCs w:val="24"/>
        </w:rPr>
      </w:pPr>
      <w:r>
        <w:rPr>
          <w:rFonts w:eastAsia="仿宋" w:cs="Times New Roman"/>
          <w:snapToGrid w:val="0"/>
          <w:spacing w:val="6"/>
          <w:kern w:val="0"/>
          <w:sz w:val="24"/>
          <w:szCs w:val="24"/>
        </w:rPr>
        <w:t>原银保监会印发《银行业保险业绿色金融指引》，要求银行保险机构从战略高度推进绿色金融发展，加大对绿色、低碳、循环经济的支持，完善信贷政策和投资政策，做好尽职调查和审批管理，防范环境、社会、治理风险，促进经济社会发展全面绿色转型。</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spacing w:val="6"/>
          <w:kern w:val="0"/>
          <w:sz w:val="24"/>
          <w:szCs w:val="24"/>
        </w:rPr>
      </w:pPr>
      <w:r>
        <w:rPr>
          <w:rFonts w:eastAsia="仿宋" w:cs="Times New Roman"/>
          <w:snapToGrid w:val="0"/>
          <w:spacing w:val="6"/>
          <w:kern w:val="0"/>
          <w:sz w:val="24"/>
          <w:szCs w:val="24"/>
        </w:rPr>
        <w:t>中国人民银行、国家发展改革委等七部门印发《关于进一步强化金融支持绿色低碳发展的指导意见》，明确未来</w:t>
      </w:r>
      <w:r>
        <w:rPr>
          <w:rFonts w:eastAsia="仿宋" w:cs="Times New Roman"/>
          <w:snapToGrid w:val="0"/>
          <w:spacing w:val="6"/>
          <w:kern w:val="0"/>
          <w:sz w:val="24"/>
          <w:szCs w:val="24"/>
        </w:rPr>
        <w:t>5</w:t>
      </w:r>
      <w:r>
        <w:rPr>
          <w:rFonts w:eastAsia="仿宋" w:cs="Times New Roman"/>
          <w:snapToGrid w:val="0"/>
          <w:spacing w:val="6"/>
          <w:kern w:val="0"/>
          <w:sz w:val="24"/>
          <w:szCs w:val="24"/>
        </w:rPr>
        <w:t>年，国际领先的金融支持绿色低碳发展体系基本构建；到</w:t>
      </w:r>
      <w:r>
        <w:rPr>
          <w:rFonts w:eastAsia="仿宋" w:cs="Times New Roman"/>
          <w:snapToGrid w:val="0"/>
          <w:spacing w:val="6"/>
          <w:kern w:val="0"/>
          <w:sz w:val="24"/>
          <w:szCs w:val="24"/>
        </w:rPr>
        <w:t>2035</w:t>
      </w:r>
      <w:r>
        <w:rPr>
          <w:rFonts w:eastAsia="仿宋" w:cs="Times New Roman"/>
          <w:snapToGrid w:val="0"/>
          <w:spacing w:val="6"/>
          <w:kern w:val="0"/>
          <w:sz w:val="24"/>
          <w:szCs w:val="24"/>
        </w:rPr>
        <w:t>年，各类经济金融绿色低碳政策协同高效推进，金融支持绿色低碳发展的标准体系和政策支持体系更加成熟。</w:t>
      </w:r>
    </w:p>
    <w:p w:rsidR="00EE0247" w:rsidRDefault="007240D0" w:rsidP="00D241E6">
      <w:pPr>
        <w:widowControl/>
        <w:kinsoku w:val="0"/>
        <w:autoSpaceDE w:val="0"/>
        <w:autoSpaceDN w:val="0"/>
        <w:adjustRightInd w:val="0"/>
        <w:snapToGrid w:val="0"/>
        <w:spacing w:beforeLines="50" w:line="240" w:lineRule="auto"/>
        <w:ind w:firstLine="480"/>
        <w:textAlignment w:val="baseline"/>
        <w:rPr>
          <w:rFonts w:eastAsia="黑体" w:cs="Times New Roman"/>
          <w:color w:val="000000" w:themeColor="text1"/>
          <w:sz w:val="24"/>
          <w:szCs w:val="24"/>
        </w:rPr>
      </w:pPr>
      <w:r>
        <w:rPr>
          <w:rFonts w:eastAsia="黑体" w:cs="Times New Roman"/>
          <w:color w:val="000000" w:themeColor="text1"/>
          <w:sz w:val="24"/>
          <w:szCs w:val="24"/>
        </w:rPr>
        <w:t xml:space="preserve">4.2.2 </w:t>
      </w:r>
      <w:r>
        <w:rPr>
          <w:rFonts w:eastAsia="黑体" w:cs="Times New Roman"/>
          <w:color w:val="000000" w:themeColor="text1"/>
          <w:sz w:val="24"/>
          <w:szCs w:val="24"/>
        </w:rPr>
        <w:t>地方相关政策法规和标准</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spacing w:val="6"/>
          <w:kern w:val="0"/>
          <w:sz w:val="24"/>
          <w:szCs w:val="24"/>
        </w:rPr>
      </w:pPr>
      <w:r>
        <w:rPr>
          <w:rFonts w:eastAsia="仿宋" w:cs="Times New Roman"/>
          <w:snapToGrid w:val="0"/>
          <w:spacing w:val="6"/>
          <w:kern w:val="0"/>
          <w:sz w:val="24"/>
          <w:szCs w:val="24"/>
        </w:rPr>
        <w:t>原江苏银保监局《中国银保监会江苏监管局关于印发</w:t>
      </w:r>
      <w:r>
        <w:rPr>
          <w:rFonts w:eastAsia="仿宋" w:cs="Times New Roman"/>
          <w:snapToGrid w:val="0"/>
          <w:spacing w:val="6"/>
          <w:kern w:val="0"/>
          <w:sz w:val="24"/>
          <w:szCs w:val="24"/>
        </w:rPr>
        <w:t>&lt;</w:t>
      </w:r>
      <w:r>
        <w:rPr>
          <w:rFonts w:eastAsia="仿宋" w:cs="Times New Roman"/>
          <w:snapToGrid w:val="0"/>
          <w:spacing w:val="6"/>
          <w:kern w:val="0"/>
          <w:sz w:val="24"/>
          <w:szCs w:val="24"/>
        </w:rPr>
        <w:t>江苏银行业保险业深化绿色金融服务行动方案</w:t>
      </w:r>
      <w:r>
        <w:rPr>
          <w:rFonts w:eastAsia="仿宋" w:cs="Times New Roman"/>
          <w:snapToGrid w:val="0"/>
          <w:spacing w:val="6"/>
          <w:kern w:val="0"/>
          <w:sz w:val="24"/>
          <w:szCs w:val="24"/>
        </w:rPr>
        <w:t>&gt;</w:t>
      </w:r>
      <w:r>
        <w:rPr>
          <w:rFonts w:eastAsia="仿宋" w:cs="Times New Roman"/>
          <w:snapToGrid w:val="0"/>
          <w:spacing w:val="6"/>
          <w:kern w:val="0"/>
          <w:sz w:val="24"/>
          <w:szCs w:val="24"/>
        </w:rPr>
        <w:t>的通知》，围绕绿色金融发展，从目标、任务、保障三方面提出要求，明确</w:t>
      </w:r>
      <w:r>
        <w:rPr>
          <w:rFonts w:eastAsia="仿宋" w:cs="Times New Roman"/>
          <w:snapToGrid w:val="0"/>
          <w:spacing w:val="6"/>
          <w:kern w:val="0"/>
          <w:sz w:val="24"/>
          <w:szCs w:val="24"/>
        </w:rPr>
        <w:t>18</w:t>
      </w:r>
      <w:r>
        <w:rPr>
          <w:rFonts w:eastAsia="仿宋" w:cs="Times New Roman"/>
          <w:snapToGrid w:val="0"/>
          <w:spacing w:val="6"/>
          <w:kern w:val="0"/>
          <w:sz w:val="24"/>
          <w:szCs w:val="24"/>
        </w:rPr>
        <w:t>项重点工作任务、</w:t>
      </w:r>
      <w:r>
        <w:rPr>
          <w:rFonts w:eastAsia="仿宋" w:cs="Times New Roman"/>
          <w:snapToGrid w:val="0"/>
          <w:spacing w:val="6"/>
          <w:kern w:val="0"/>
          <w:sz w:val="24"/>
          <w:szCs w:val="24"/>
        </w:rPr>
        <w:t>25</w:t>
      </w:r>
      <w:r>
        <w:rPr>
          <w:rFonts w:eastAsia="仿宋" w:cs="Times New Roman"/>
          <w:snapToGrid w:val="0"/>
          <w:spacing w:val="6"/>
          <w:kern w:val="0"/>
          <w:sz w:val="24"/>
          <w:szCs w:val="24"/>
        </w:rPr>
        <w:t>条工作意见，指导银行保险机构</w:t>
      </w:r>
      <w:proofErr w:type="gramStart"/>
      <w:r>
        <w:rPr>
          <w:rFonts w:eastAsia="仿宋" w:cs="Times New Roman"/>
          <w:snapToGrid w:val="0"/>
          <w:spacing w:val="6"/>
          <w:kern w:val="0"/>
          <w:sz w:val="24"/>
          <w:szCs w:val="24"/>
        </w:rPr>
        <w:t>践行</w:t>
      </w:r>
      <w:proofErr w:type="gramEnd"/>
      <w:r>
        <w:rPr>
          <w:rFonts w:eastAsia="仿宋" w:cs="Times New Roman"/>
          <w:snapToGrid w:val="0"/>
          <w:spacing w:val="6"/>
          <w:kern w:val="0"/>
          <w:sz w:val="24"/>
          <w:szCs w:val="24"/>
        </w:rPr>
        <w:t>绿色低碳发展战略，助推经济社会全面绿色转型。</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spacing w:val="6"/>
          <w:kern w:val="0"/>
          <w:sz w:val="24"/>
          <w:szCs w:val="24"/>
        </w:rPr>
      </w:pPr>
      <w:r>
        <w:rPr>
          <w:rFonts w:eastAsia="仿宋" w:cs="Times New Roman"/>
          <w:snapToGrid w:val="0"/>
          <w:spacing w:val="6"/>
          <w:kern w:val="0"/>
          <w:sz w:val="24"/>
          <w:szCs w:val="24"/>
        </w:rPr>
        <w:t>人民银行江苏省分行印发了《关于开展江苏省绿色融资主体认定评价工作的通知》，要求根据《江苏省绿色融资主体认定评价标准》启动江苏省绿色融资主体认定和评价工作，各金融机构应通过优化内部资源配置、绩效考核倾斜内部转移定价优惠等进一步完善绿色信贷管理制度，加大对库内绿色企业</w:t>
      </w:r>
      <w:r>
        <w:rPr>
          <w:rFonts w:eastAsia="仿宋" w:cs="Times New Roman"/>
          <w:snapToGrid w:val="0"/>
          <w:spacing w:val="6"/>
          <w:kern w:val="0"/>
          <w:sz w:val="24"/>
          <w:szCs w:val="24"/>
        </w:rPr>
        <w:t>(</w:t>
      </w:r>
      <w:r>
        <w:rPr>
          <w:rFonts w:eastAsia="仿宋" w:cs="Times New Roman"/>
          <w:snapToGrid w:val="0"/>
          <w:spacing w:val="6"/>
          <w:kern w:val="0"/>
          <w:sz w:val="24"/>
          <w:szCs w:val="24"/>
        </w:rPr>
        <w:t>项目</w:t>
      </w:r>
      <w:r>
        <w:rPr>
          <w:rFonts w:eastAsia="仿宋" w:cs="Times New Roman"/>
          <w:snapToGrid w:val="0"/>
          <w:spacing w:val="6"/>
          <w:kern w:val="0"/>
          <w:sz w:val="24"/>
          <w:szCs w:val="24"/>
        </w:rPr>
        <w:t>)</w:t>
      </w:r>
      <w:r>
        <w:rPr>
          <w:rFonts w:eastAsia="仿宋" w:cs="Times New Roman"/>
          <w:snapToGrid w:val="0"/>
          <w:spacing w:val="6"/>
          <w:kern w:val="0"/>
          <w:sz w:val="24"/>
          <w:szCs w:val="24"/>
        </w:rPr>
        <w:t>的支持力度。</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spacing w:val="6"/>
          <w:kern w:val="0"/>
          <w:sz w:val="24"/>
          <w:szCs w:val="24"/>
        </w:rPr>
      </w:pPr>
      <w:r>
        <w:rPr>
          <w:rFonts w:eastAsia="仿宋" w:cs="Times New Roman"/>
          <w:snapToGrid w:val="0"/>
          <w:spacing w:val="6"/>
          <w:kern w:val="0"/>
          <w:sz w:val="24"/>
          <w:szCs w:val="24"/>
        </w:rPr>
        <w:t>中国人民银行江苏省分行、国家金融监督管理总局、江苏监管局、省委金融委员会公室、发展和政革委员会联合印发了《关于印发</w:t>
      </w:r>
      <w:r>
        <w:rPr>
          <w:rFonts w:eastAsia="仿宋" w:cs="Times New Roman"/>
          <w:snapToGrid w:val="0"/>
          <w:spacing w:val="6"/>
          <w:kern w:val="0"/>
          <w:sz w:val="24"/>
          <w:szCs w:val="24"/>
        </w:rPr>
        <w:t>&lt;</w:t>
      </w:r>
      <w:r>
        <w:rPr>
          <w:rFonts w:eastAsia="仿宋" w:cs="Times New Roman"/>
          <w:snapToGrid w:val="0"/>
          <w:spacing w:val="6"/>
          <w:kern w:val="0"/>
          <w:sz w:val="24"/>
          <w:szCs w:val="24"/>
        </w:rPr>
        <w:t>江苏省银行业金融机构环境信息披露指引</w:t>
      </w:r>
      <w:r>
        <w:rPr>
          <w:rFonts w:eastAsia="仿宋" w:cs="Times New Roman"/>
          <w:snapToGrid w:val="0"/>
          <w:spacing w:val="6"/>
          <w:kern w:val="0"/>
          <w:sz w:val="24"/>
          <w:szCs w:val="24"/>
        </w:rPr>
        <w:t>(</w:t>
      </w:r>
      <w:r>
        <w:rPr>
          <w:rFonts w:eastAsia="仿宋" w:cs="Times New Roman"/>
          <w:snapToGrid w:val="0"/>
          <w:spacing w:val="6"/>
          <w:kern w:val="0"/>
          <w:sz w:val="24"/>
          <w:szCs w:val="24"/>
        </w:rPr>
        <w:t>试行</w:t>
      </w:r>
      <w:r>
        <w:rPr>
          <w:rFonts w:eastAsia="仿宋" w:cs="Times New Roman"/>
          <w:snapToGrid w:val="0"/>
          <w:spacing w:val="6"/>
          <w:kern w:val="0"/>
          <w:sz w:val="24"/>
          <w:szCs w:val="24"/>
        </w:rPr>
        <w:t>)&gt;</w:t>
      </w:r>
      <w:r>
        <w:rPr>
          <w:rFonts w:eastAsia="仿宋" w:cs="Times New Roman"/>
          <w:snapToGrid w:val="0"/>
          <w:spacing w:val="6"/>
          <w:kern w:val="0"/>
          <w:sz w:val="24"/>
          <w:szCs w:val="24"/>
        </w:rPr>
        <w:t>的通知》</w:t>
      </w:r>
      <w:r>
        <w:rPr>
          <w:rFonts w:eastAsia="仿宋" w:cs="Times New Roman"/>
          <w:snapToGrid w:val="0"/>
          <w:spacing w:val="6"/>
          <w:kern w:val="0"/>
          <w:sz w:val="24"/>
          <w:szCs w:val="24"/>
        </w:rPr>
        <w:t>,</w:t>
      </w:r>
      <w:r>
        <w:rPr>
          <w:rFonts w:eastAsia="仿宋" w:cs="Times New Roman"/>
          <w:snapToGrid w:val="0"/>
          <w:spacing w:val="6"/>
          <w:kern w:val="0"/>
          <w:sz w:val="24"/>
          <w:szCs w:val="24"/>
        </w:rPr>
        <w:t>要求江苏省内金融机构把做好银行业金融机构环境信息披露作为推动我省绿色金融高质量发展的重要抓手，健全工作机制，细化落实举措，扎实有力推进，确保工作取得实效。《通知》强调金融机构宜向金融管理部门或地方行政主管部门披露碳排放（包括范围一、范围二、范围三）等环境信息，并于每年</w:t>
      </w:r>
      <w:r>
        <w:rPr>
          <w:rFonts w:eastAsia="仿宋" w:cs="Times New Roman"/>
          <w:snapToGrid w:val="0"/>
          <w:spacing w:val="6"/>
          <w:kern w:val="0"/>
          <w:sz w:val="24"/>
          <w:szCs w:val="24"/>
        </w:rPr>
        <w:t>6</w:t>
      </w:r>
      <w:r>
        <w:rPr>
          <w:rFonts w:eastAsia="仿宋" w:cs="Times New Roman"/>
          <w:snapToGrid w:val="0"/>
          <w:spacing w:val="6"/>
          <w:kern w:val="0"/>
          <w:sz w:val="24"/>
          <w:szCs w:val="24"/>
        </w:rPr>
        <w:t>月</w:t>
      </w:r>
      <w:r>
        <w:rPr>
          <w:rFonts w:eastAsia="仿宋" w:cs="Times New Roman"/>
          <w:snapToGrid w:val="0"/>
          <w:spacing w:val="6"/>
          <w:kern w:val="0"/>
          <w:sz w:val="24"/>
          <w:szCs w:val="24"/>
        </w:rPr>
        <w:t>30</w:t>
      </w:r>
      <w:r>
        <w:rPr>
          <w:rFonts w:eastAsia="仿宋" w:cs="Times New Roman"/>
          <w:snapToGrid w:val="0"/>
          <w:spacing w:val="6"/>
          <w:kern w:val="0"/>
          <w:sz w:val="24"/>
          <w:szCs w:val="24"/>
        </w:rPr>
        <w:t>日前披露上一年度环境信息披露报告，鼓励有条件的金融机构增加披露频次。</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spacing w:val="6"/>
          <w:kern w:val="0"/>
          <w:sz w:val="24"/>
          <w:szCs w:val="24"/>
        </w:rPr>
      </w:pPr>
      <w:r>
        <w:rPr>
          <w:rFonts w:eastAsia="仿宋" w:cs="Times New Roman"/>
          <w:snapToGrid w:val="0"/>
          <w:spacing w:val="6"/>
          <w:kern w:val="0"/>
          <w:sz w:val="24"/>
          <w:szCs w:val="24"/>
        </w:rPr>
        <w:t>江苏金融监管局办公室出台了《关于印发</w:t>
      </w:r>
      <w:r>
        <w:rPr>
          <w:rFonts w:eastAsia="仿宋" w:cs="Times New Roman"/>
          <w:snapToGrid w:val="0"/>
          <w:spacing w:val="6"/>
          <w:kern w:val="0"/>
          <w:sz w:val="24"/>
          <w:szCs w:val="24"/>
        </w:rPr>
        <w:t>&lt;</w:t>
      </w:r>
      <w:r>
        <w:rPr>
          <w:rFonts w:eastAsia="仿宋" w:cs="Times New Roman"/>
          <w:snapToGrid w:val="0"/>
          <w:spacing w:val="6"/>
          <w:kern w:val="0"/>
          <w:sz w:val="24"/>
          <w:szCs w:val="24"/>
        </w:rPr>
        <w:t>江苏辖内银行机构绿色金融评价实施方案</w:t>
      </w:r>
      <w:r>
        <w:rPr>
          <w:rFonts w:eastAsia="仿宋" w:cs="Times New Roman"/>
          <w:snapToGrid w:val="0"/>
          <w:spacing w:val="6"/>
          <w:kern w:val="0"/>
          <w:sz w:val="24"/>
          <w:szCs w:val="24"/>
        </w:rPr>
        <w:t>(</w:t>
      </w:r>
      <w:r>
        <w:rPr>
          <w:rFonts w:eastAsia="仿宋" w:cs="Times New Roman"/>
          <w:snapToGrid w:val="0"/>
          <w:spacing w:val="6"/>
          <w:kern w:val="0"/>
          <w:sz w:val="24"/>
          <w:szCs w:val="24"/>
        </w:rPr>
        <w:t>试行</w:t>
      </w:r>
      <w:r>
        <w:rPr>
          <w:rFonts w:eastAsia="仿宋" w:cs="Times New Roman"/>
          <w:snapToGrid w:val="0"/>
          <w:spacing w:val="6"/>
          <w:kern w:val="0"/>
          <w:sz w:val="24"/>
          <w:szCs w:val="24"/>
        </w:rPr>
        <w:t>)&gt;</w:t>
      </w:r>
      <w:r>
        <w:rPr>
          <w:rFonts w:eastAsia="仿宋" w:cs="Times New Roman"/>
          <w:snapToGrid w:val="0"/>
          <w:spacing w:val="6"/>
          <w:kern w:val="0"/>
          <w:sz w:val="24"/>
          <w:szCs w:val="24"/>
        </w:rPr>
        <w:t>的通知》，要求江苏辖内银行机构绿色金融评价工作按年度进行，内容包括银行机构自评价、复核及绿色银行评价、评价结果应用。</w:t>
      </w:r>
    </w:p>
    <w:p w:rsidR="00EE0247" w:rsidRDefault="007240D0">
      <w:pPr>
        <w:pStyle w:val="2"/>
        <w:rPr>
          <w:rFonts w:ascii="Times New Roman" w:hAnsi="Times New Roman" w:hint="default"/>
        </w:rPr>
      </w:pPr>
      <w:bookmarkStart w:id="17" w:name="_Toc206595318"/>
      <w:r>
        <w:rPr>
          <w:rFonts w:ascii="Times New Roman" w:hAnsi="Times New Roman" w:hint="default"/>
        </w:rPr>
        <w:lastRenderedPageBreak/>
        <w:t xml:space="preserve">4.3 </w:t>
      </w:r>
      <w:r>
        <w:rPr>
          <w:rFonts w:ascii="Times New Roman" w:hAnsi="Times New Roman" w:hint="default"/>
        </w:rPr>
        <w:t>国际标准</w:t>
      </w:r>
      <w:bookmarkEnd w:id="17"/>
    </w:p>
    <w:p w:rsidR="00EE0247" w:rsidRDefault="007240D0" w:rsidP="00D241E6">
      <w:pPr>
        <w:widowControl/>
        <w:kinsoku w:val="0"/>
        <w:autoSpaceDE w:val="0"/>
        <w:autoSpaceDN w:val="0"/>
        <w:adjustRightInd w:val="0"/>
        <w:snapToGrid w:val="0"/>
        <w:spacing w:beforeLines="50" w:line="240" w:lineRule="auto"/>
        <w:ind w:firstLine="480"/>
        <w:textAlignment w:val="baseline"/>
        <w:rPr>
          <w:rFonts w:eastAsia="黑体" w:cs="Times New Roman"/>
          <w:color w:val="000000" w:themeColor="text1"/>
          <w:sz w:val="24"/>
          <w:szCs w:val="24"/>
        </w:rPr>
      </w:pPr>
      <w:r>
        <w:rPr>
          <w:rFonts w:eastAsia="黑体" w:cs="Times New Roman"/>
          <w:color w:val="000000" w:themeColor="text1"/>
          <w:sz w:val="24"/>
          <w:szCs w:val="24"/>
        </w:rPr>
        <w:t xml:space="preserve">4.3.1 </w:t>
      </w:r>
      <w:r>
        <w:rPr>
          <w:rFonts w:eastAsia="黑体" w:cs="Times New Roman"/>
          <w:color w:val="000000" w:themeColor="text1"/>
          <w:sz w:val="24"/>
          <w:szCs w:val="24"/>
        </w:rPr>
        <w:t>采纳国际公约、框架、倡议</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本行在绿色金融领域采纳多项国际公约、框架和倡议：</w:t>
      </w:r>
    </w:p>
    <w:p w:rsidR="00EE0247" w:rsidRDefault="007240D0" w:rsidP="00D241E6">
      <w:pPr>
        <w:widowControl/>
        <w:kinsoku w:val="0"/>
        <w:autoSpaceDE w:val="0"/>
        <w:autoSpaceDN w:val="0"/>
        <w:adjustRightInd w:val="0"/>
        <w:snapToGrid w:val="0"/>
        <w:spacing w:beforeLines="50" w:line="240" w:lineRule="auto"/>
        <w:ind w:firstLine="506"/>
        <w:textAlignment w:val="baseline"/>
        <w:rPr>
          <w:rFonts w:eastAsia="仿宋" w:cs="Times New Roman"/>
          <w:snapToGrid w:val="0"/>
          <w:color w:val="000000" w:themeColor="text1"/>
          <w:spacing w:val="6"/>
          <w:kern w:val="0"/>
          <w:sz w:val="24"/>
          <w:szCs w:val="24"/>
        </w:rPr>
      </w:pPr>
      <w:r>
        <w:rPr>
          <w:rFonts w:eastAsia="仿宋" w:cs="Times New Roman"/>
          <w:b/>
          <w:bCs/>
          <w:snapToGrid w:val="0"/>
          <w:color w:val="000000" w:themeColor="text1"/>
          <w:spacing w:val="6"/>
          <w:kern w:val="0"/>
          <w:sz w:val="24"/>
          <w:szCs w:val="24"/>
        </w:rPr>
        <w:t>1</w:t>
      </w:r>
      <w:r>
        <w:rPr>
          <w:rFonts w:eastAsia="仿宋" w:cs="Times New Roman"/>
          <w:b/>
          <w:bCs/>
          <w:snapToGrid w:val="0"/>
          <w:color w:val="000000" w:themeColor="text1"/>
          <w:spacing w:val="6"/>
          <w:kern w:val="0"/>
          <w:sz w:val="24"/>
          <w:szCs w:val="24"/>
        </w:rPr>
        <w:t>）巴黎气候协定：</w:t>
      </w:r>
      <w:r>
        <w:rPr>
          <w:rFonts w:eastAsia="仿宋" w:cs="Times New Roman"/>
          <w:snapToGrid w:val="0"/>
          <w:color w:val="000000" w:themeColor="text1"/>
          <w:spacing w:val="6"/>
          <w:kern w:val="0"/>
          <w:sz w:val="24"/>
          <w:szCs w:val="24"/>
        </w:rPr>
        <w:t>本行积极响应全球应对气候变化的行动，通过绿色金融手段支持低碳转型和可持续发展。遵循《巴黎气候协定》的目标和原则，该协定以遏制全球变暖为核心，旨在将全球气温升幅控制在比工业革命前高</w:t>
      </w:r>
      <w:r>
        <w:rPr>
          <w:rFonts w:eastAsia="仿宋" w:cs="Times New Roman"/>
          <w:snapToGrid w:val="0"/>
          <w:color w:val="000000" w:themeColor="text1"/>
          <w:spacing w:val="6"/>
          <w:kern w:val="0"/>
          <w:sz w:val="24"/>
          <w:szCs w:val="24"/>
        </w:rPr>
        <w:t>2°C</w:t>
      </w:r>
      <w:r>
        <w:rPr>
          <w:rFonts w:eastAsia="仿宋" w:cs="Times New Roman"/>
          <w:snapToGrid w:val="0"/>
          <w:color w:val="000000" w:themeColor="text1"/>
          <w:spacing w:val="6"/>
          <w:kern w:val="0"/>
          <w:sz w:val="24"/>
          <w:szCs w:val="24"/>
        </w:rPr>
        <w:t>以内，这被视为遏制全球气候变暖严重影响的</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最低要求</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w:t>
      </w:r>
    </w:p>
    <w:p w:rsidR="00EE0247" w:rsidRDefault="007240D0" w:rsidP="00D241E6">
      <w:pPr>
        <w:widowControl/>
        <w:kinsoku w:val="0"/>
        <w:autoSpaceDE w:val="0"/>
        <w:autoSpaceDN w:val="0"/>
        <w:adjustRightInd w:val="0"/>
        <w:snapToGrid w:val="0"/>
        <w:spacing w:beforeLines="50" w:line="240" w:lineRule="auto"/>
        <w:ind w:firstLine="506"/>
        <w:textAlignment w:val="baseline"/>
        <w:rPr>
          <w:rFonts w:eastAsia="仿宋" w:cs="Times New Roman"/>
          <w:snapToGrid w:val="0"/>
          <w:color w:val="000000" w:themeColor="text1"/>
          <w:spacing w:val="6"/>
          <w:kern w:val="0"/>
          <w:sz w:val="24"/>
          <w:szCs w:val="24"/>
        </w:rPr>
      </w:pPr>
      <w:r>
        <w:rPr>
          <w:rFonts w:eastAsia="仿宋" w:cs="Times New Roman"/>
          <w:b/>
          <w:bCs/>
          <w:snapToGrid w:val="0"/>
          <w:color w:val="000000" w:themeColor="text1"/>
          <w:spacing w:val="6"/>
          <w:kern w:val="0"/>
          <w:sz w:val="24"/>
          <w:szCs w:val="24"/>
        </w:rPr>
        <w:t>2</w:t>
      </w:r>
      <w:r>
        <w:rPr>
          <w:rFonts w:eastAsia="仿宋" w:cs="Times New Roman"/>
          <w:b/>
          <w:bCs/>
          <w:snapToGrid w:val="0"/>
          <w:color w:val="000000" w:themeColor="text1"/>
          <w:spacing w:val="6"/>
          <w:kern w:val="0"/>
          <w:sz w:val="24"/>
          <w:szCs w:val="24"/>
        </w:rPr>
        <w:t>）碳核算金融联盟（</w:t>
      </w:r>
      <w:r>
        <w:rPr>
          <w:rFonts w:eastAsia="仿宋" w:cs="Times New Roman"/>
          <w:b/>
          <w:bCs/>
          <w:snapToGrid w:val="0"/>
          <w:color w:val="000000" w:themeColor="text1"/>
          <w:spacing w:val="6"/>
          <w:kern w:val="0"/>
          <w:sz w:val="24"/>
          <w:szCs w:val="24"/>
        </w:rPr>
        <w:t>PCAF</w:t>
      </w:r>
      <w:r>
        <w:rPr>
          <w:rFonts w:eastAsia="仿宋" w:cs="Times New Roman"/>
          <w:b/>
          <w:bCs/>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本行金融碳核算遵循</w:t>
      </w:r>
      <w:r>
        <w:rPr>
          <w:rFonts w:eastAsia="仿宋" w:cs="Times New Roman"/>
          <w:snapToGrid w:val="0"/>
          <w:color w:val="000000" w:themeColor="text1"/>
          <w:spacing w:val="6"/>
          <w:kern w:val="0"/>
          <w:sz w:val="24"/>
          <w:szCs w:val="24"/>
        </w:rPr>
        <w:t>PCAF</w:t>
      </w:r>
      <w:r>
        <w:rPr>
          <w:rFonts w:eastAsia="仿宋" w:cs="Times New Roman"/>
          <w:snapToGrid w:val="0"/>
          <w:color w:val="000000" w:themeColor="text1"/>
          <w:spacing w:val="6"/>
          <w:kern w:val="0"/>
          <w:sz w:val="24"/>
          <w:szCs w:val="24"/>
        </w:rPr>
        <w:t>《金融行业温室气体核算和披露全球性标准》中核算和披露的五项基本原则。碳核算金融联盟（</w:t>
      </w:r>
      <w:r>
        <w:rPr>
          <w:rFonts w:eastAsia="仿宋" w:cs="Times New Roman"/>
          <w:snapToGrid w:val="0"/>
          <w:color w:val="000000" w:themeColor="text1"/>
          <w:spacing w:val="6"/>
          <w:kern w:val="0"/>
          <w:sz w:val="24"/>
          <w:szCs w:val="24"/>
        </w:rPr>
        <w:t>PCAF</w:t>
      </w:r>
      <w:r>
        <w:rPr>
          <w:rFonts w:eastAsia="仿宋" w:cs="Times New Roman"/>
          <w:snapToGrid w:val="0"/>
          <w:color w:val="000000" w:themeColor="text1"/>
          <w:spacing w:val="6"/>
          <w:kern w:val="0"/>
          <w:sz w:val="24"/>
          <w:szCs w:val="24"/>
        </w:rPr>
        <w:t>）是一项由金融行业主导的全球性碳核算项目，致力于协调金融机构衡量和披露其投资的温室气体排放量。其目标是推动金融领域的碳排放核算和披露标准化，并协助金融部门与《巴黎气候协议》保持一致。</w:t>
      </w:r>
    </w:p>
    <w:p w:rsidR="00EE0247" w:rsidRDefault="007240D0" w:rsidP="00D241E6">
      <w:pPr>
        <w:widowControl/>
        <w:kinsoku w:val="0"/>
        <w:autoSpaceDE w:val="0"/>
        <w:autoSpaceDN w:val="0"/>
        <w:adjustRightInd w:val="0"/>
        <w:snapToGrid w:val="0"/>
        <w:spacing w:beforeLines="50" w:line="240" w:lineRule="auto"/>
        <w:ind w:firstLine="480"/>
        <w:textAlignment w:val="baseline"/>
        <w:rPr>
          <w:rFonts w:eastAsia="黑体" w:cs="Times New Roman"/>
          <w:color w:val="000000" w:themeColor="text1"/>
          <w:sz w:val="24"/>
          <w:szCs w:val="24"/>
        </w:rPr>
      </w:pPr>
      <w:r>
        <w:rPr>
          <w:rFonts w:eastAsia="黑体" w:cs="Times New Roman"/>
          <w:color w:val="000000" w:themeColor="text1"/>
          <w:sz w:val="24"/>
          <w:szCs w:val="24"/>
        </w:rPr>
        <w:t xml:space="preserve">4.3.2 </w:t>
      </w:r>
      <w:r>
        <w:rPr>
          <w:rFonts w:eastAsia="黑体" w:cs="Times New Roman"/>
          <w:color w:val="000000" w:themeColor="text1"/>
          <w:sz w:val="24"/>
          <w:szCs w:val="24"/>
        </w:rPr>
        <w:t>加入国际倡议组织（鼓励）</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本行报告期内未加入气候投融资相关国际倡议组织。</w:t>
      </w:r>
    </w:p>
    <w:p w:rsidR="00EE0247" w:rsidRDefault="007240D0">
      <w:pPr>
        <w:ind w:firstLine="640"/>
        <w:rPr>
          <w:rFonts w:eastAsia="微软雅黑" w:cs="Times New Roman"/>
          <w:b/>
          <w:bCs/>
          <w:color w:val="000000" w:themeColor="text1"/>
          <w:szCs w:val="32"/>
        </w:rPr>
      </w:pPr>
      <w:r>
        <w:rPr>
          <w:rFonts w:eastAsia="微软雅黑" w:cs="Times New Roman"/>
          <w:b/>
          <w:bCs/>
          <w:color w:val="000000" w:themeColor="text1"/>
          <w:szCs w:val="32"/>
        </w:rPr>
        <w:br w:type="page"/>
      </w:r>
    </w:p>
    <w:p w:rsidR="00EE0247" w:rsidRDefault="007240D0">
      <w:pPr>
        <w:pStyle w:val="1"/>
        <w:rPr>
          <w:rFonts w:cs="Times New Roman"/>
        </w:rPr>
      </w:pPr>
      <w:bookmarkStart w:id="18" w:name="_Toc206595319"/>
      <w:r>
        <w:rPr>
          <w:rFonts w:cs="Times New Roman"/>
        </w:rPr>
        <w:lastRenderedPageBreak/>
        <w:t>第五章</w:t>
      </w:r>
      <w:r>
        <w:rPr>
          <w:rFonts w:cs="Times New Roman"/>
        </w:rPr>
        <w:t xml:space="preserve"> </w:t>
      </w:r>
      <w:r>
        <w:rPr>
          <w:rFonts w:cs="Times New Roman"/>
        </w:rPr>
        <w:t>环境管理</w:t>
      </w:r>
      <w:bookmarkEnd w:id="18"/>
    </w:p>
    <w:p w:rsidR="00EE0247" w:rsidRDefault="007240D0">
      <w:pPr>
        <w:pStyle w:val="2"/>
        <w:rPr>
          <w:rFonts w:ascii="Times New Roman" w:hAnsi="Times New Roman" w:hint="default"/>
        </w:rPr>
      </w:pPr>
      <w:bookmarkStart w:id="19" w:name="_Toc206595320"/>
      <w:r>
        <w:rPr>
          <w:rFonts w:ascii="Times New Roman" w:hAnsi="Times New Roman" w:hint="default"/>
        </w:rPr>
        <w:t xml:space="preserve">5.1 </w:t>
      </w:r>
      <w:r>
        <w:rPr>
          <w:rFonts w:ascii="Times New Roman" w:hAnsi="Times New Roman" w:hint="default"/>
        </w:rPr>
        <w:t>环境风险、机遇及应对措施</w:t>
      </w:r>
      <w:bookmarkEnd w:id="19"/>
    </w:p>
    <w:p w:rsidR="00EE0247" w:rsidRDefault="007240D0" w:rsidP="00D241E6">
      <w:pPr>
        <w:widowControl/>
        <w:kinsoku w:val="0"/>
        <w:autoSpaceDE w:val="0"/>
        <w:autoSpaceDN w:val="0"/>
        <w:adjustRightInd w:val="0"/>
        <w:snapToGrid w:val="0"/>
        <w:spacing w:beforeLines="50" w:line="240" w:lineRule="auto"/>
        <w:ind w:firstLine="480"/>
        <w:textAlignment w:val="baseline"/>
        <w:rPr>
          <w:rFonts w:eastAsia="黑体" w:cs="Times New Roman"/>
          <w:color w:val="000000" w:themeColor="text1"/>
          <w:sz w:val="24"/>
          <w:szCs w:val="24"/>
        </w:rPr>
      </w:pPr>
      <w:r>
        <w:rPr>
          <w:rFonts w:eastAsia="黑体" w:cs="Times New Roman"/>
          <w:color w:val="000000" w:themeColor="text1"/>
          <w:sz w:val="24"/>
          <w:szCs w:val="24"/>
        </w:rPr>
        <w:t>5.1.1</w:t>
      </w:r>
      <w:r>
        <w:rPr>
          <w:rFonts w:eastAsia="黑体" w:cs="Times New Roman"/>
          <w:color w:val="000000" w:themeColor="text1"/>
          <w:sz w:val="24"/>
          <w:szCs w:val="24"/>
        </w:rPr>
        <w:t>环境风险、机遇</w:t>
      </w:r>
    </w:p>
    <w:p w:rsidR="00EE0247" w:rsidRDefault="007240D0" w:rsidP="00D241E6">
      <w:pPr>
        <w:widowControl/>
        <w:kinsoku w:val="0"/>
        <w:autoSpaceDE w:val="0"/>
        <w:autoSpaceDN w:val="0"/>
        <w:adjustRightInd w:val="0"/>
        <w:snapToGrid w:val="0"/>
        <w:spacing w:beforeLines="50" w:line="240" w:lineRule="auto"/>
        <w:ind w:firstLine="506"/>
        <w:textAlignment w:val="baseline"/>
        <w:rPr>
          <w:rFonts w:eastAsia="仿宋" w:cs="Times New Roman"/>
          <w:snapToGrid w:val="0"/>
          <w:color w:val="000000" w:themeColor="text1"/>
          <w:spacing w:val="6"/>
          <w:kern w:val="0"/>
          <w:sz w:val="24"/>
          <w:szCs w:val="24"/>
        </w:rPr>
      </w:pPr>
      <w:r>
        <w:rPr>
          <w:rFonts w:eastAsia="仿宋" w:cs="Times New Roman"/>
          <w:b/>
          <w:bCs/>
          <w:snapToGrid w:val="0"/>
          <w:color w:val="000000" w:themeColor="text1"/>
          <w:spacing w:val="6"/>
          <w:kern w:val="0"/>
          <w:sz w:val="24"/>
          <w:szCs w:val="24"/>
        </w:rPr>
        <w:t>1</w:t>
      </w:r>
      <w:r>
        <w:rPr>
          <w:rFonts w:eastAsia="仿宋" w:cs="Times New Roman"/>
          <w:b/>
          <w:bCs/>
          <w:snapToGrid w:val="0"/>
          <w:color w:val="000000" w:themeColor="text1"/>
          <w:spacing w:val="6"/>
          <w:kern w:val="0"/>
          <w:sz w:val="24"/>
          <w:szCs w:val="24"/>
        </w:rPr>
        <w:t>）短期环境风险、机遇：</w:t>
      </w:r>
      <w:r>
        <w:rPr>
          <w:rFonts w:eastAsia="仿宋" w:cs="Times New Roman"/>
          <w:snapToGrid w:val="0"/>
          <w:color w:val="000000" w:themeColor="text1"/>
          <w:spacing w:val="6"/>
          <w:kern w:val="0"/>
          <w:sz w:val="24"/>
          <w:szCs w:val="24"/>
        </w:rPr>
        <w:t>物理风险如极端天气事件导致的资产损失，转型风险如国际供应链中断。本行将通过环境风险量化分析，将企业受环境相关政策、自身环</w:t>
      </w:r>
      <w:proofErr w:type="gramStart"/>
      <w:r>
        <w:rPr>
          <w:rFonts w:eastAsia="仿宋" w:cs="Times New Roman"/>
          <w:snapToGrid w:val="0"/>
          <w:color w:val="000000" w:themeColor="text1"/>
          <w:spacing w:val="6"/>
          <w:kern w:val="0"/>
          <w:sz w:val="24"/>
          <w:szCs w:val="24"/>
        </w:rPr>
        <w:t>评情况</w:t>
      </w:r>
      <w:proofErr w:type="gramEnd"/>
      <w:r>
        <w:rPr>
          <w:rFonts w:eastAsia="仿宋" w:cs="Times New Roman"/>
          <w:snapToGrid w:val="0"/>
          <w:color w:val="000000" w:themeColor="text1"/>
          <w:spacing w:val="6"/>
          <w:kern w:val="0"/>
          <w:sz w:val="24"/>
          <w:szCs w:val="24"/>
        </w:rPr>
        <w:t>等因素纳入企业内部信用评级变动</w:t>
      </w:r>
      <w:proofErr w:type="gramStart"/>
      <w:r>
        <w:rPr>
          <w:rFonts w:eastAsia="仿宋" w:cs="Times New Roman"/>
          <w:snapToGrid w:val="0"/>
          <w:color w:val="000000" w:themeColor="text1"/>
          <w:spacing w:val="6"/>
          <w:kern w:val="0"/>
          <w:sz w:val="24"/>
          <w:szCs w:val="24"/>
        </w:rPr>
        <w:t>考量</w:t>
      </w:r>
      <w:proofErr w:type="gramEnd"/>
      <w:r>
        <w:rPr>
          <w:rFonts w:eastAsia="仿宋" w:cs="Times New Roman"/>
          <w:snapToGrid w:val="0"/>
          <w:color w:val="000000" w:themeColor="text1"/>
          <w:spacing w:val="6"/>
          <w:kern w:val="0"/>
          <w:sz w:val="24"/>
          <w:szCs w:val="24"/>
        </w:rPr>
        <w:t>，评估不同情景下信贷资产质量的影响程度。在信贷业务中，加强对客户环保依法合</w:t>
      </w:r>
      <w:proofErr w:type="gramStart"/>
      <w:r>
        <w:rPr>
          <w:rFonts w:eastAsia="仿宋" w:cs="Times New Roman"/>
          <w:snapToGrid w:val="0"/>
          <w:color w:val="000000" w:themeColor="text1"/>
          <w:spacing w:val="6"/>
          <w:kern w:val="0"/>
          <w:sz w:val="24"/>
          <w:szCs w:val="24"/>
        </w:rPr>
        <w:t>规</w:t>
      </w:r>
      <w:proofErr w:type="gramEnd"/>
      <w:r>
        <w:rPr>
          <w:rFonts w:eastAsia="仿宋" w:cs="Times New Roman"/>
          <w:snapToGrid w:val="0"/>
          <w:color w:val="000000" w:themeColor="text1"/>
          <w:spacing w:val="6"/>
          <w:kern w:val="0"/>
          <w:sz w:val="24"/>
          <w:szCs w:val="24"/>
        </w:rPr>
        <w:t>情况的调查，通过风险预警系统对存在环保问题的客户进行预警提示，并采取有针对性地控制或缓释措施。实行环保一票否决制，限制准入</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两高一剩</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或环保不达标的企业，对存量不符合环保标准的客户坚决退出。</w:t>
      </w:r>
    </w:p>
    <w:p w:rsidR="00EE0247" w:rsidRDefault="007240D0" w:rsidP="00D241E6">
      <w:pPr>
        <w:widowControl/>
        <w:kinsoku w:val="0"/>
        <w:autoSpaceDE w:val="0"/>
        <w:autoSpaceDN w:val="0"/>
        <w:adjustRightInd w:val="0"/>
        <w:snapToGrid w:val="0"/>
        <w:spacing w:beforeLines="50" w:line="240" w:lineRule="auto"/>
        <w:ind w:firstLine="506"/>
        <w:textAlignment w:val="baseline"/>
        <w:rPr>
          <w:rFonts w:eastAsia="仿宋" w:cs="Times New Roman"/>
          <w:snapToGrid w:val="0"/>
          <w:color w:val="000000" w:themeColor="text1"/>
          <w:spacing w:val="6"/>
          <w:kern w:val="0"/>
          <w:sz w:val="24"/>
          <w:szCs w:val="24"/>
        </w:rPr>
      </w:pPr>
      <w:r>
        <w:rPr>
          <w:rFonts w:eastAsia="仿宋" w:cs="Times New Roman"/>
          <w:b/>
          <w:bCs/>
          <w:snapToGrid w:val="0"/>
          <w:color w:val="000000" w:themeColor="text1"/>
          <w:spacing w:val="6"/>
          <w:kern w:val="0"/>
          <w:sz w:val="24"/>
          <w:szCs w:val="24"/>
        </w:rPr>
        <w:t>2</w:t>
      </w:r>
      <w:r>
        <w:rPr>
          <w:rFonts w:eastAsia="仿宋" w:cs="Times New Roman"/>
          <w:b/>
          <w:bCs/>
          <w:snapToGrid w:val="0"/>
          <w:color w:val="000000" w:themeColor="text1"/>
          <w:spacing w:val="6"/>
          <w:kern w:val="0"/>
          <w:sz w:val="24"/>
          <w:szCs w:val="24"/>
        </w:rPr>
        <w:t>）中期环境风险、机遇：</w:t>
      </w:r>
      <w:r>
        <w:rPr>
          <w:rFonts w:eastAsia="仿宋" w:cs="Times New Roman"/>
          <w:snapToGrid w:val="0"/>
          <w:color w:val="000000" w:themeColor="text1"/>
          <w:spacing w:val="6"/>
          <w:kern w:val="0"/>
          <w:sz w:val="24"/>
          <w:szCs w:val="24"/>
        </w:rPr>
        <w:t>物理风险如水资源和食物安全变化带来的经营风险，转型风险如欧盟碳关税征收、碳市场价格大幅波动。本行优先支持</w:t>
      </w:r>
      <w:proofErr w:type="gramStart"/>
      <w:r>
        <w:rPr>
          <w:rFonts w:eastAsia="仿宋" w:cs="Times New Roman"/>
          <w:snapToGrid w:val="0"/>
          <w:color w:val="000000" w:themeColor="text1"/>
          <w:spacing w:val="6"/>
          <w:kern w:val="0"/>
          <w:sz w:val="24"/>
          <w:szCs w:val="24"/>
        </w:rPr>
        <w:t>节能降碳产业</w:t>
      </w:r>
      <w:proofErr w:type="gramEnd"/>
      <w:r>
        <w:rPr>
          <w:rFonts w:eastAsia="仿宋" w:cs="Times New Roman"/>
          <w:snapToGrid w:val="0"/>
          <w:color w:val="000000" w:themeColor="text1"/>
          <w:spacing w:val="6"/>
          <w:kern w:val="0"/>
          <w:sz w:val="24"/>
          <w:szCs w:val="24"/>
        </w:rPr>
        <w:t>、环境保护产业、资源循环利用产业、清洁能源产业、生态保护修复和利用、基础设施绿色升级、绿色服务等七大绿色产业，同时加大对传统行业节能</w:t>
      </w:r>
      <w:proofErr w:type="gramStart"/>
      <w:r>
        <w:rPr>
          <w:rFonts w:eastAsia="仿宋" w:cs="Times New Roman"/>
          <w:snapToGrid w:val="0"/>
          <w:color w:val="000000" w:themeColor="text1"/>
          <w:spacing w:val="6"/>
          <w:kern w:val="0"/>
          <w:sz w:val="24"/>
          <w:szCs w:val="24"/>
        </w:rPr>
        <w:t>降碳减排活动</w:t>
      </w:r>
      <w:proofErr w:type="gramEnd"/>
      <w:r>
        <w:rPr>
          <w:rFonts w:eastAsia="仿宋" w:cs="Times New Roman"/>
          <w:snapToGrid w:val="0"/>
          <w:color w:val="000000" w:themeColor="text1"/>
          <w:spacing w:val="6"/>
          <w:kern w:val="0"/>
          <w:sz w:val="24"/>
          <w:szCs w:val="24"/>
        </w:rPr>
        <w:t>的资金支持，快速响应绿色融资主体和转型融资主体的可持续发展融资需求。</w:t>
      </w:r>
    </w:p>
    <w:p w:rsidR="00EE0247" w:rsidRDefault="007240D0" w:rsidP="00D241E6">
      <w:pPr>
        <w:widowControl/>
        <w:kinsoku w:val="0"/>
        <w:autoSpaceDE w:val="0"/>
        <w:autoSpaceDN w:val="0"/>
        <w:adjustRightInd w:val="0"/>
        <w:snapToGrid w:val="0"/>
        <w:spacing w:beforeLines="50" w:line="240" w:lineRule="auto"/>
        <w:ind w:firstLine="506"/>
        <w:textAlignment w:val="baseline"/>
        <w:rPr>
          <w:rFonts w:eastAsia="仿宋" w:cs="Times New Roman"/>
          <w:snapToGrid w:val="0"/>
          <w:color w:val="000000" w:themeColor="text1"/>
          <w:spacing w:val="6"/>
          <w:kern w:val="0"/>
          <w:sz w:val="24"/>
          <w:szCs w:val="24"/>
        </w:rPr>
      </w:pPr>
      <w:r>
        <w:rPr>
          <w:rFonts w:eastAsia="仿宋" w:cs="Times New Roman"/>
          <w:b/>
          <w:bCs/>
          <w:snapToGrid w:val="0"/>
          <w:color w:val="000000" w:themeColor="text1"/>
          <w:spacing w:val="6"/>
          <w:kern w:val="0"/>
          <w:sz w:val="24"/>
          <w:szCs w:val="24"/>
        </w:rPr>
        <w:t>3</w:t>
      </w:r>
      <w:r>
        <w:rPr>
          <w:rFonts w:eastAsia="仿宋" w:cs="Times New Roman"/>
          <w:b/>
          <w:bCs/>
          <w:snapToGrid w:val="0"/>
          <w:color w:val="000000" w:themeColor="text1"/>
          <w:spacing w:val="6"/>
          <w:kern w:val="0"/>
          <w:sz w:val="24"/>
          <w:szCs w:val="24"/>
        </w:rPr>
        <w:t>）长期环境风险、机遇：</w:t>
      </w:r>
      <w:r>
        <w:rPr>
          <w:rFonts w:eastAsia="仿宋" w:cs="Times New Roman"/>
          <w:snapToGrid w:val="0"/>
          <w:color w:val="000000" w:themeColor="text1"/>
          <w:spacing w:val="6"/>
          <w:kern w:val="0"/>
          <w:sz w:val="24"/>
          <w:szCs w:val="24"/>
        </w:rPr>
        <w:t>气候变化导致的海平面上升、持续高温等，影响公司运营和资产价值。本行设定碳中和远景目标，明确绿色金融发展目标、任务和措施，推动绿色金融业务的长期可持续发展。推动本行自身运营的绿色低碳转型，如建设</w:t>
      </w:r>
      <w:proofErr w:type="gramStart"/>
      <w:r>
        <w:rPr>
          <w:rFonts w:eastAsia="仿宋" w:cs="Times New Roman"/>
          <w:snapToGrid w:val="0"/>
          <w:color w:val="000000" w:themeColor="text1"/>
          <w:spacing w:val="6"/>
          <w:kern w:val="0"/>
          <w:sz w:val="24"/>
          <w:szCs w:val="24"/>
        </w:rPr>
        <w:t>零碳银行</w:t>
      </w:r>
      <w:proofErr w:type="gramEnd"/>
      <w:r>
        <w:rPr>
          <w:rFonts w:eastAsia="仿宋" w:cs="Times New Roman"/>
          <w:snapToGrid w:val="0"/>
          <w:color w:val="000000" w:themeColor="text1"/>
          <w:spacing w:val="6"/>
          <w:kern w:val="0"/>
          <w:sz w:val="24"/>
          <w:szCs w:val="24"/>
        </w:rPr>
        <w:t>网点、绿色数据中心、百分百绿色电力消费等，持续降低本行自身运营的环境影响，提升投融资的环境效益。</w:t>
      </w:r>
    </w:p>
    <w:p w:rsidR="00EE0247" w:rsidRDefault="007240D0" w:rsidP="00D241E6">
      <w:pPr>
        <w:widowControl/>
        <w:kinsoku w:val="0"/>
        <w:autoSpaceDE w:val="0"/>
        <w:autoSpaceDN w:val="0"/>
        <w:adjustRightInd w:val="0"/>
        <w:snapToGrid w:val="0"/>
        <w:spacing w:beforeLines="50" w:line="240" w:lineRule="auto"/>
        <w:ind w:firstLine="480"/>
        <w:textAlignment w:val="baseline"/>
        <w:rPr>
          <w:rFonts w:eastAsia="黑体" w:cs="Times New Roman"/>
          <w:color w:val="000000" w:themeColor="text1"/>
          <w:sz w:val="24"/>
          <w:szCs w:val="24"/>
        </w:rPr>
      </w:pPr>
      <w:r>
        <w:rPr>
          <w:rFonts w:eastAsia="黑体" w:cs="Times New Roman"/>
          <w:color w:val="000000" w:themeColor="text1"/>
          <w:sz w:val="24"/>
          <w:szCs w:val="24"/>
        </w:rPr>
        <w:t>5.1.2</w:t>
      </w:r>
      <w:r>
        <w:rPr>
          <w:rFonts w:eastAsia="黑体" w:cs="Times New Roman"/>
          <w:color w:val="000000" w:themeColor="text1"/>
          <w:sz w:val="24"/>
          <w:szCs w:val="24"/>
        </w:rPr>
        <w:t>应对措施和预案：</w:t>
      </w:r>
    </w:p>
    <w:p w:rsidR="00EE0247" w:rsidRDefault="007240D0" w:rsidP="00D241E6">
      <w:pPr>
        <w:widowControl/>
        <w:kinsoku w:val="0"/>
        <w:autoSpaceDE w:val="0"/>
        <w:autoSpaceDN w:val="0"/>
        <w:adjustRightInd w:val="0"/>
        <w:snapToGrid w:val="0"/>
        <w:spacing w:beforeLines="50" w:line="240" w:lineRule="auto"/>
        <w:ind w:firstLine="506"/>
        <w:textAlignment w:val="baseline"/>
        <w:rPr>
          <w:rFonts w:eastAsia="仿宋" w:cs="Times New Roman"/>
          <w:snapToGrid w:val="0"/>
          <w:color w:val="000000" w:themeColor="text1"/>
          <w:spacing w:val="6"/>
          <w:kern w:val="0"/>
          <w:sz w:val="24"/>
          <w:szCs w:val="24"/>
        </w:rPr>
      </w:pPr>
      <w:r>
        <w:rPr>
          <w:rFonts w:eastAsia="仿宋" w:cs="Times New Roman"/>
          <w:b/>
          <w:bCs/>
          <w:snapToGrid w:val="0"/>
          <w:color w:val="000000" w:themeColor="text1"/>
          <w:spacing w:val="6"/>
          <w:kern w:val="0"/>
          <w:sz w:val="24"/>
          <w:szCs w:val="24"/>
        </w:rPr>
        <w:t>1</w:t>
      </w:r>
      <w:r>
        <w:rPr>
          <w:rFonts w:eastAsia="仿宋" w:cs="Times New Roman"/>
          <w:b/>
          <w:bCs/>
          <w:snapToGrid w:val="0"/>
          <w:color w:val="000000" w:themeColor="text1"/>
          <w:spacing w:val="6"/>
          <w:kern w:val="0"/>
          <w:sz w:val="24"/>
          <w:szCs w:val="24"/>
        </w:rPr>
        <w:t>）完善风险管理体系：</w:t>
      </w:r>
      <w:r>
        <w:rPr>
          <w:rFonts w:eastAsia="仿宋" w:cs="Times New Roman"/>
          <w:snapToGrid w:val="0"/>
          <w:color w:val="000000" w:themeColor="text1"/>
          <w:spacing w:val="6"/>
          <w:kern w:val="0"/>
          <w:sz w:val="24"/>
          <w:szCs w:val="24"/>
        </w:rPr>
        <w:t>本行建立全面的环境风险管理体系，包括风险识别、评估、监控和报告等环节，确保环境风险得到有效控制。</w:t>
      </w:r>
    </w:p>
    <w:p w:rsidR="00EE0247" w:rsidRDefault="007240D0" w:rsidP="00D241E6">
      <w:pPr>
        <w:widowControl/>
        <w:kinsoku w:val="0"/>
        <w:autoSpaceDE w:val="0"/>
        <w:autoSpaceDN w:val="0"/>
        <w:adjustRightInd w:val="0"/>
        <w:snapToGrid w:val="0"/>
        <w:spacing w:beforeLines="50" w:line="240" w:lineRule="auto"/>
        <w:ind w:firstLine="506"/>
        <w:textAlignment w:val="baseline"/>
        <w:rPr>
          <w:rFonts w:eastAsia="仿宋" w:cs="Times New Roman"/>
          <w:snapToGrid w:val="0"/>
          <w:color w:val="000000" w:themeColor="text1"/>
          <w:spacing w:val="6"/>
          <w:kern w:val="0"/>
          <w:sz w:val="24"/>
          <w:szCs w:val="24"/>
        </w:rPr>
      </w:pPr>
      <w:r>
        <w:rPr>
          <w:rFonts w:eastAsia="仿宋" w:cs="Times New Roman"/>
          <w:b/>
          <w:bCs/>
          <w:snapToGrid w:val="0"/>
          <w:color w:val="000000" w:themeColor="text1"/>
          <w:spacing w:val="6"/>
          <w:kern w:val="0"/>
          <w:sz w:val="24"/>
          <w:szCs w:val="24"/>
        </w:rPr>
        <w:t>2</w:t>
      </w:r>
      <w:r>
        <w:rPr>
          <w:rFonts w:eastAsia="仿宋" w:cs="Times New Roman"/>
          <w:b/>
          <w:bCs/>
          <w:snapToGrid w:val="0"/>
          <w:color w:val="000000" w:themeColor="text1"/>
          <w:spacing w:val="6"/>
          <w:kern w:val="0"/>
          <w:sz w:val="24"/>
          <w:szCs w:val="24"/>
        </w:rPr>
        <w:t>）强化内部风险控制：</w:t>
      </w:r>
      <w:r>
        <w:rPr>
          <w:rFonts w:eastAsia="仿宋" w:cs="Times New Roman"/>
          <w:snapToGrid w:val="0"/>
          <w:color w:val="000000" w:themeColor="text1"/>
          <w:spacing w:val="6"/>
          <w:kern w:val="0"/>
          <w:sz w:val="24"/>
          <w:szCs w:val="24"/>
        </w:rPr>
        <w:t>本行通过制定和完善相关内控制度和流程，加强环境风险的内部控制和监督。实施风险敞口管理制度，开展信贷政策指引情况跟踪审计。</w:t>
      </w:r>
    </w:p>
    <w:p w:rsidR="00EE0247" w:rsidRDefault="007240D0" w:rsidP="00D241E6">
      <w:pPr>
        <w:widowControl/>
        <w:kinsoku w:val="0"/>
        <w:autoSpaceDE w:val="0"/>
        <w:autoSpaceDN w:val="0"/>
        <w:adjustRightInd w:val="0"/>
        <w:snapToGrid w:val="0"/>
        <w:spacing w:beforeLines="50" w:line="240" w:lineRule="auto"/>
        <w:ind w:firstLine="506"/>
        <w:textAlignment w:val="baseline"/>
        <w:rPr>
          <w:rFonts w:eastAsia="仿宋" w:cs="Times New Roman"/>
          <w:snapToGrid w:val="0"/>
          <w:color w:val="000000" w:themeColor="text1"/>
          <w:spacing w:val="6"/>
          <w:kern w:val="0"/>
          <w:sz w:val="24"/>
          <w:szCs w:val="24"/>
        </w:rPr>
      </w:pPr>
      <w:r>
        <w:rPr>
          <w:rFonts w:eastAsia="仿宋" w:cs="Times New Roman"/>
          <w:b/>
          <w:bCs/>
          <w:snapToGrid w:val="0"/>
          <w:color w:val="000000" w:themeColor="text1"/>
          <w:spacing w:val="6"/>
          <w:kern w:val="0"/>
          <w:sz w:val="24"/>
          <w:szCs w:val="24"/>
        </w:rPr>
        <w:t>3</w:t>
      </w:r>
      <w:r>
        <w:rPr>
          <w:rFonts w:eastAsia="仿宋" w:cs="Times New Roman"/>
          <w:b/>
          <w:bCs/>
          <w:snapToGrid w:val="0"/>
          <w:color w:val="000000" w:themeColor="text1"/>
          <w:spacing w:val="6"/>
          <w:kern w:val="0"/>
          <w:sz w:val="24"/>
          <w:szCs w:val="24"/>
        </w:rPr>
        <w:t>）建立应急预案：</w:t>
      </w:r>
      <w:r>
        <w:rPr>
          <w:rFonts w:eastAsia="仿宋" w:cs="Times New Roman"/>
          <w:snapToGrid w:val="0"/>
          <w:color w:val="000000" w:themeColor="text1"/>
          <w:spacing w:val="6"/>
          <w:kern w:val="0"/>
          <w:sz w:val="24"/>
          <w:szCs w:val="24"/>
        </w:rPr>
        <w:t>本行建立专职应急领导小组负责环境风险的应急管理和处置。针对可能发生的重大环境风险事件，制定应急预案和处置程序，确保能够迅速、有效地应对和处置环境风险。</w:t>
      </w:r>
    </w:p>
    <w:p w:rsidR="00EE0247" w:rsidRDefault="007240D0" w:rsidP="00D241E6">
      <w:pPr>
        <w:widowControl/>
        <w:kinsoku w:val="0"/>
        <w:autoSpaceDE w:val="0"/>
        <w:autoSpaceDN w:val="0"/>
        <w:adjustRightInd w:val="0"/>
        <w:snapToGrid w:val="0"/>
        <w:spacing w:beforeLines="50" w:line="240" w:lineRule="auto"/>
        <w:ind w:firstLine="506"/>
        <w:textAlignment w:val="baseline"/>
        <w:rPr>
          <w:rFonts w:eastAsia="仿宋" w:cs="Times New Roman"/>
          <w:snapToGrid w:val="0"/>
          <w:color w:val="000000" w:themeColor="text1"/>
          <w:spacing w:val="6"/>
          <w:kern w:val="0"/>
          <w:sz w:val="24"/>
          <w:szCs w:val="24"/>
        </w:rPr>
      </w:pPr>
      <w:r>
        <w:rPr>
          <w:rFonts w:eastAsia="仿宋" w:cs="Times New Roman"/>
          <w:b/>
          <w:bCs/>
          <w:snapToGrid w:val="0"/>
          <w:color w:val="000000" w:themeColor="text1"/>
          <w:spacing w:val="6"/>
          <w:kern w:val="0"/>
          <w:sz w:val="24"/>
          <w:szCs w:val="24"/>
        </w:rPr>
        <w:t>4</w:t>
      </w:r>
      <w:r>
        <w:rPr>
          <w:rFonts w:eastAsia="仿宋" w:cs="Times New Roman"/>
          <w:b/>
          <w:bCs/>
          <w:snapToGrid w:val="0"/>
          <w:color w:val="000000" w:themeColor="text1"/>
          <w:spacing w:val="6"/>
          <w:kern w:val="0"/>
          <w:sz w:val="24"/>
          <w:szCs w:val="24"/>
        </w:rPr>
        <w:t>）加强沟通与协作：</w:t>
      </w:r>
      <w:r>
        <w:rPr>
          <w:rFonts w:eastAsia="仿宋" w:cs="Times New Roman"/>
          <w:snapToGrid w:val="0"/>
          <w:color w:val="000000" w:themeColor="text1"/>
          <w:spacing w:val="6"/>
          <w:kern w:val="0"/>
          <w:sz w:val="24"/>
          <w:szCs w:val="24"/>
        </w:rPr>
        <w:t>本行加强与地方政府、监管部门、环保组织等利益相关方的沟通与协作，共同应对环境风险挑战。</w:t>
      </w:r>
    </w:p>
    <w:p w:rsidR="00EE0247" w:rsidRDefault="007240D0" w:rsidP="00D241E6">
      <w:pPr>
        <w:widowControl/>
        <w:kinsoku w:val="0"/>
        <w:autoSpaceDE w:val="0"/>
        <w:autoSpaceDN w:val="0"/>
        <w:adjustRightInd w:val="0"/>
        <w:snapToGrid w:val="0"/>
        <w:spacing w:beforeLines="50" w:line="240" w:lineRule="auto"/>
        <w:ind w:firstLine="506"/>
        <w:textAlignment w:val="baseline"/>
        <w:rPr>
          <w:rFonts w:eastAsia="仿宋" w:cs="Times New Roman"/>
          <w:snapToGrid w:val="0"/>
          <w:color w:val="000000" w:themeColor="text1"/>
          <w:spacing w:val="6"/>
          <w:kern w:val="0"/>
          <w:sz w:val="24"/>
          <w:szCs w:val="24"/>
        </w:rPr>
      </w:pPr>
      <w:r>
        <w:rPr>
          <w:rFonts w:eastAsia="仿宋" w:cs="Times New Roman"/>
          <w:b/>
          <w:bCs/>
          <w:snapToGrid w:val="0"/>
          <w:color w:val="000000" w:themeColor="text1"/>
          <w:spacing w:val="6"/>
          <w:kern w:val="0"/>
          <w:sz w:val="24"/>
          <w:szCs w:val="24"/>
        </w:rPr>
        <w:t>5</w:t>
      </w:r>
      <w:r>
        <w:rPr>
          <w:rFonts w:eastAsia="仿宋" w:cs="Times New Roman"/>
          <w:b/>
          <w:bCs/>
          <w:snapToGrid w:val="0"/>
          <w:color w:val="000000" w:themeColor="text1"/>
          <w:spacing w:val="6"/>
          <w:kern w:val="0"/>
          <w:sz w:val="24"/>
          <w:szCs w:val="24"/>
        </w:rPr>
        <w:t>）定期演练和培训：</w:t>
      </w:r>
      <w:r>
        <w:rPr>
          <w:rFonts w:eastAsia="仿宋" w:cs="Times New Roman"/>
          <w:snapToGrid w:val="0"/>
          <w:color w:val="000000" w:themeColor="text1"/>
          <w:spacing w:val="6"/>
          <w:kern w:val="0"/>
          <w:sz w:val="24"/>
          <w:szCs w:val="24"/>
        </w:rPr>
        <w:t>本行定期组织环境风险主题培训活动，提升全体员工的环境风险识别意识和防控应对能力。</w:t>
      </w:r>
    </w:p>
    <w:p w:rsidR="00EE0247" w:rsidRDefault="007240D0">
      <w:pPr>
        <w:pStyle w:val="2"/>
        <w:rPr>
          <w:rFonts w:ascii="Times New Roman" w:hAnsi="Times New Roman" w:hint="default"/>
        </w:rPr>
      </w:pPr>
      <w:bookmarkStart w:id="20" w:name="_Toc206595321"/>
      <w:r>
        <w:rPr>
          <w:rFonts w:ascii="Times New Roman" w:hAnsi="Times New Roman" w:hint="default"/>
        </w:rPr>
        <w:lastRenderedPageBreak/>
        <w:t xml:space="preserve">5.2 </w:t>
      </w:r>
      <w:r>
        <w:rPr>
          <w:rFonts w:ascii="Times New Roman" w:hAnsi="Times New Roman" w:hint="default"/>
        </w:rPr>
        <w:t>利益相关</w:t>
      </w:r>
      <w:proofErr w:type="gramStart"/>
      <w:r>
        <w:rPr>
          <w:rFonts w:ascii="Times New Roman" w:hAnsi="Times New Roman" w:hint="default"/>
        </w:rPr>
        <w:t>方环境</w:t>
      </w:r>
      <w:proofErr w:type="gramEnd"/>
      <w:r>
        <w:rPr>
          <w:rFonts w:ascii="Times New Roman" w:hAnsi="Times New Roman" w:hint="default"/>
        </w:rPr>
        <w:t>议题</w:t>
      </w:r>
      <w:bookmarkEnd w:id="20"/>
    </w:p>
    <w:p w:rsidR="00EE0247" w:rsidRDefault="007240D0" w:rsidP="00D241E6">
      <w:pPr>
        <w:widowControl/>
        <w:kinsoku w:val="0"/>
        <w:autoSpaceDE w:val="0"/>
        <w:autoSpaceDN w:val="0"/>
        <w:adjustRightInd w:val="0"/>
        <w:snapToGrid w:val="0"/>
        <w:spacing w:beforeLines="50" w:line="240" w:lineRule="auto"/>
        <w:ind w:firstLine="480"/>
        <w:textAlignment w:val="baseline"/>
        <w:rPr>
          <w:rFonts w:eastAsia="黑体" w:cs="Times New Roman"/>
          <w:color w:val="000000" w:themeColor="text1"/>
          <w:sz w:val="24"/>
          <w:szCs w:val="24"/>
        </w:rPr>
      </w:pPr>
      <w:r>
        <w:rPr>
          <w:rFonts w:eastAsia="黑体" w:cs="Times New Roman"/>
          <w:color w:val="000000" w:themeColor="text1"/>
          <w:sz w:val="24"/>
          <w:szCs w:val="24"/>
        </w:rPr>
        <w:t>5.2.1</w:t>
      </w:r>
      <w:r>
        <w:rPr>
          <w:rFonts w:eastAsia="黑体" w:cs="Times New Roman"/>
          <w:color w:val="000000" w:themeColor="text1"/>
          <w:sz w:val="24"/>
          <w:szCs w:val="24"/>
        </w:rPr>
        <w:t>识别机制</w:t>
      </w:r>
    </w:p>
    <w:p w:rsidR="00EE0247" w:rsidRDefault="007240D0" w:rsidP="00D241E6">
      <w:pPr>
        <w:widowControl/>
        <w:kinsoku w:val="0"/>
        <w:autoSpaceDE w:val="0"/>
        <w:autoSpaceDN w:val="0"/>
        <w:adjustRightInd w:val="0"/>
        <w:snapToGrid w:val="0"/>
        <w:spacing w:beforeLines="50" w:line="240" w:lineRule="auto"/>
        <w:ind w:firstLine="506"/>
        <w:textAlignment w:val="baseline"/>
        <w:rPr>
          <w:rFonts w:eastAsia="仿宋" w:cs="Times New Roman"/>
          <w:snapToGrid w:val="0"/>
          <w:color w:val="000000" w:themeColor="text1"/>
          <w:spacing w:val="6"/>
          <w:kern w:val="0"/>
          <w:sz w:val="24"/>
          <w:szCs w:val="24"/>
        </w:rPr>
      </w:pPr>
      <w:r>
        <w:rPr>
          <w:rFonts w:eastAsia="仿宋" w:cs="Times New Roman"/>
          <w:b/>
          <w:bCs/>
          <w:snapToGrid w:val="0"/>
          <w:color w:val="000000" w:themeColor="text1"/>
          <w:spacing w:val="6"/>
          <w:kern w:val="0"/>
          <w:sz w:val="24"/>
          <w:szCs w:val="24"/>
        </w:rPr>
        <w:t>1</w:t>
      </w:r>
      <w:r>
        <w:rPr>
          <w:rFonts w:eastAsia="仿宋" w:cs="Times New Roman"/>
          <w:b/>
          <w:bCs/>
          <w:snapToGrid w:val="0"/>
          <w:color w:val="000000" w:themeColor="text1"/>
          <w:spacing w:val="6"/>
          <w:kern w:val="0"/>
          <w:sz w:val="24"/>
          <w:szCs w:val="24"/>
        </w:rPr>
        <w:t>）利益相关方调查：</w:t>
      </w:r>
      <w:r>
        <w:rPr>
          <w:rFonts w:eastAsia="仿宋" w:cs="Times New Roman"/>
          <w:snapToGrid w:val="0"/>
          <w:color w:val="000000" w:themeColor="text1"/>
          <w:spacing w:val="6"/>
          <w:kern w:val="0"/>
          <w:sz w:val="24"/>
          <w:szCs w:val="24"/>
        </w:rPr>
        <w:t>本行通过在线问卷调查、线下座谈会等活动方式收集股东、客户、监管机构、社区、管理层与员工、债权人、合作伙伴等利益相关方的意见和建议，识别其关注的环境相关重大议题。</w:t>
      </w:r>
    </w:p>
    <w:p w:rsidR="00EE0247" w:rsidRDefault="007240D0" w:rsidP="00D241E6">
      <w:pPr>
        <w:widowControl/>
        <w:kinsoku w:val="0"/>
        <w:autoSpaceDE w:val="0"/>
        <w:autoSpaceDN w:val="0"/>
        <w:adjustRightInd w:val="0"/>
        <w:snapToGrid w:val="0"/>
        <w:spacing w:beforeLines="50" w:line="240" w:lineRule="auto"/>
        <w:ind w:firstLine="506"/>
        <w:textAlignment w:val="baseline"/>
        <w:rPr>
          <w:rFonts w:eastAsia="仿宋" w:cs="Times New Roman"/>
          <w:snapToGrid w:val="0"/>
          <w:color w:val="000000" w:themeColor="text1"/>
          <w:spacing w:val="6"/>
          <w:kern w:val="0"/>
          <w:sz w:val="24"/>
          <w:szCs w:val="24"/>
        </w:rPr>
      </w:pPr>
      <w:r>
        <w:rPr>
          <w:rFonts w:eastAsia="仿宋" w:cs="Times New Roman"/>
          <w:b/>
          <w:bCs/>
          <w:snapToGrid w:val="0"/>
          <w:color w:val="000000" w:themeColor="text1"/>
          <w:spacing w:val="6"/>
          <w:kern w:val="0"/>
          <w:sz w:val="24"/>
          <w:szCs w:val="24"/>
        </w:rPr>
        <w:t>2</w:t>
      </w:r>
      <w:r>
        <w:rPr>
          <w:rFonts w:eastAsia="仿宋" w:cs="Times New Roman"/>
          <w:b/>
          <w:bCs/>
          <w:snapToGrid w:val="0"/>
          <w:color w:val="000000" w:themeColor="text1"/>
          <w:spacing w:val="6"/>
          <w:kern w:val="0"/>
          <w:sz w:val="24"/>
          <w:szCs w:val="24"/>
        </w:rPr>
        <w:t>）市场与环境分析：</w:t>
      </w:r>
      <w:r>
        <w:rPr>
          <w:rFonts w:eastAsia="仿宋" w:cs="Times New Roman"/>
          <w:snapToGrid w:val="0"/>
          <w:color w:val="000000" w:themeColor="text1"/>
          <w:spacing w:val="6"/>
          <w:kern w:val="0"/>
          <w:sz w:val="24"/>
          <w:szCs w:val="24"/>
        </w:rPr>
        <w:t>本行定期分析市场和行业趋势，关注环境政策、法规和标准的变化，以及市场对绿色金融产品和服务的需求变化。</w:t>
      </w:r>
    </w:p>
    <w:p w:rsidR="00EE0247" w:rsidRDefault="007240D0" w:rsidP="00D241E6">
      <w:pPr>
        <w:widowControl/>
        <w:kinsoku w:val="0"/>
        <w:autoSpaceDE w:val="0"/>
        <w:autoSpaceDN w:val="0"/>
        <w:adjustRightInd w:val="0"/>
        <w:snapToGrid w:val="0"/>
        <w:spacing w:beforeLines="50" w:line="240" w:lineRule="auto"/>
        <w:ind w:firstLine="506"/>
        <w:textAlignment w:val="baseline"/>
        <w:rPr>
          <w:rFonts w:eastAsia="仿宋" w:cs="Times New Roman"/>
          <w:snapToGrid w:val="0"/>
          <w:color w:val="000000" w:themeColor="text1"/>
          <w:spacing w:val="6"/>
          <w:kern w:val="0"/>
          <w:sz w:val="24"/>
          <w:szCs w:val="24"/>
        </w:rPr>
      </w:pPr>
      <w:r>
        <w:rPr>
          <w:rFonts w:eastAsia="仿宋" w:cs="Times New Roman"/>
          <w:b/>
          <w:bCs/>
          <w:snapToGrid w:val="0"/>
          <w:color w:val="000000" w:themeColor="text1"/>
          <w:spacing w:val="6"/>
          <w:kern w:val="0"/>
          <w:sz w:val="24"/>
          <w:szCs w:val="24"/>
        </w:rPr>
        <w:t>3</w:t>
      </w:r>
      <w:r>
        <w:rPr>
          <w:rFonts w:eastAsia="仿宋" w:cs="Times New Roman"/>
          <w:b/>
          <w:bCs/>
          <w:snapToGrid w:val="0"/>
          <w:color w:val="000000" w:themeColor="text1"/>
          <w:spacing w:val="6"/>
          <w:kern w:val="0"/>
          <w:sz w:val="24"/>
          <w:szCs w:val="24"/>
        </w:rPr>
        <w:t>）内部审查：</w:t>
      </w:r>
      <w:r>
        <w:rPr>
          <w:rFonts w:eastAsia="仿宋" w:cs="Times New Roman"/>
          <w:snapToGrid w:val="0"/>
          <w:color w:val="000000" w:themeColor="text1"/>
          <w:spacing w:val="6"/>
          <w:kern w:val="0"/>
          <w:sz w:val="24"/>
          <w:szCs w:val="24"/>
        </w:rPr>
        <w:t>本行通过内部审查和主题讨论，结合银行自身的业务特点和环境风险状况，及时识别潜在的环境风险点和市场机遇。</w:t>
      </w:r>
    </w:p>
    <w:p w:rsidR="00EE0247" w:rsidRDefault="007240D0" w:rsidP="00D241E6">
      <w:pPr>
        <w:widowControl/>
        <w:kinsoku w:val="0"/>
        <w:autoSpaceDE w:val="0"/>
        <w:autoSpaceDN w:val="0"/>
        <w:adjustRightInd w:val="0"/>
        <w:snapToGrid w:val="0"/>
        <w:spacing w:beforeLines="50" w:line="240" w:lineRule="auto"/>
        <w:ind w:firstLine="480"/>
        <w:textAlignment w:val="baseline"/>
        <w:rPr>
          <w:rFonts w:eastAsia="黑体" w:cs="Times New Roman"/>
          <w:color w:val="000000" w:themeColor="text1"/>
          <w:sz w:val="24"/>
          <w:szCs w:val="24"/>
        </w:rPr>
      </w:pPr>
      <w:r>
        <w:rPr>
          <w:rFonts w:eastAsia="黑体" w:cs="Times New Roman"/>
          <w:color w:val="000000" w:themeColor="text1"/>
          <w:sz w:val="24"/>
          <w:szCs w:val="24"/>
        </w:rPr>
        <w:t>5.2.2</w:t>
      </w:r>
      <w:r>
        <w:rPr>
          <w:rFonts w:eastAsia="黑体" w:cs="Times New Roman"/>
          <w:color w:val="000000" w:themeColor="text1"/>
          <w:sz w:val="24"/>
          <w:szCs w:val="24"/>
        </w:rPr>
        <w:t>评估方法</w:t>
      </w:r>
    </w:p>
    <w:p w:rsidR="00EE0247" w:rsidRDefault="007240D0" w:rsidP="00D241E6">
      <w:pPr>
        <w:widowControl/>
        <w:kinsoku w:val="0"/>
        <w:autoSpaceDE w:val="0"/>
        <w:autoSpaceDN w:val="0"/>
        <w:adjustRightInd w:val="0"/>
        <w:snapToGrid w:val="0"/>
        <w:spacing w:beforeLines="50" w:line="240" w:lineRule="auto"/>
        <w:ind w:firstLine="506"/>
        <w:textAlignment w:val="baseline"/>
        <w:rPr>
          <w:rFonts w:eastAsia="仿宋" w:cs="Times New Roman"/>
          <w:snapToGrid w:val="0"/>
          <w:color w:val="000000" w:themeColor="text1"/>
          <w:spacing w:val="6"/>
          <w:kern w:val="0"/>
          <w:sz w:val="24"/>
          <w:szCs w:val="24"/>
        </w:rPr>
      </w:pPr>
      <w:r>
        <w:rPr>
          <w:rFonts w:eastAsia="仿宋" w:cs="Times New Roman"/>
          <w:b/>
          <w:bCs/>
          <w:snapToGrid w:val="0"/>
          <w:color w:val="000000" w:themeColor="text1"/>
          <w:spacing w:val="6"/>
          <w:kern w:val="0"/>
          <w:sz w:val="24"/>
          <w:szCs w:val="24"/>
        </w:rPr>
        <w:t>1</w:t>
      </w:r>
      <w:r>
        <w:rPr>
          <w:rFonts w:eastAsia="仿宋" w:cs="Times New Roman"/>
          <w:b/>
          <w:bCs/>
          <w:snapToGrid w:val="0"/>
          <w:color w:val="000000" w:themeColor="text1"/>
          <w:spacing w:val="6"/>
          <w:kern w:val="0"/>
          <w:sz w:val="24"/>
          <w:szCs w:val="24"/>
        </w:rPr>
        <w:t>）环境影响评估：</w:t>
      </w:r>
      <w:r>
        <w:rPr>
          <w:rFonts w:eastAsia="仿宋" w:cs="Times New Roman"/>
          <w:snapToGrid w:val="0"/>
          <w:color w:val="000000" w:themeColor="text1"/>
          <w:spacing w:val="6"/>
          <w:kern w:val="0"/>
          <w:sz w:val="24"/>
          <w:szCs w:val="24"/>
        </w:rPr>
        <w:t>本行对投融资项目进行全面的环境影响评估，包括直接环境影响和间接环境影响，以及长期和短期的环境影响。</w:t>
      </w:r>
      <w:r>
        <w:rPr>
          <w:rFonts w:eastAsia="仿宋" w:cs="Times New Roman"/>
          <w:snapToGrid w:val="0"/>
          <w:color w:val="000000" w:themeColor="text1"/>
          <w:spacing w:val="6"/>
          <w:kern w:val="0"/>
          <w:sz w:val="24"/>
          <w:szCs w:val="24"/>
        </w:rPr>
        <w:t xml:space="preserve">  </w:t>
      </w:r>
    </w:p>
    <w:p w:rsidR="00EE0247" w:rsidRDefault="007240D0" w:rsidP="00D241E6">
      <w:pPr>
        <w:widowControl/>
        <w:kinsoku w:val="0"/>
        <w:autoSpaceDE w:val="0"/>
        <w:autoSpaceDN w:val="0"/>
        <w:adjustRightInd w:val="0"/>
        <w:snapToGrid w:val="0"/>
        <w:spacing w:beforeLines="50" w:line="240" w:lineRule="auto"/>
        <w:ind w:firstLine="506"/>
        <w:textAlignment w:val="baseline"/>
        <w:rPr>
          <w:rFonts w:eastAsia="仿宋" w:cs="Times New Roman"/>
          <w:snapToGrid w:val="0"/>
          <w:color w:val="000000" w:themeColor="text1"/>
          <w:spacing w:val="6"/>
          <w:kern w:val="0"/>
          <w:sz w:val="24"/>
          <w:szCs w:val="24"/>
        </w:rPr>
      </w:pPr>
      <w:r>
        <w:rPr>
          <w:rFonts w:eastAsia="仿宋" w:cs="Times New Roman"/>
          <w:b/>
          <w:bCs/>
          <w:snapToGrid w:val="0"/>
          <w:color w:val="000000" w:themeColor="text1"/>
          <w:spacing w:val="6"/>
          <w:kern w:val="0"/>
          <w:sz w:val="24"/>
          <w:szCs w:val="24"/>
        </w:rPr>
        <w:t>2</w:t>
      </w:r>
      <w:r>
        <w:rPr>
          <w:rFonts w:eastAsia="仿宋" w:cs="Times New Roman"/>
          <w:b/>
          <w:bCs/>
          <w:snapToGrid w:val="0"/>
          <w:color w:val="000000" w:themeColor="text1"/>
          <w:spacing w:val="6"/>
          <w:kern w:val="0"/>
          <w:sz w:val="24"/>
          <w:szCs w:val="24"/>
        </w:rPr>
        <w:t>）风险与收益分析：</w:t>
      </w:r>
      <w:r>
        <w:rPr>
          <w:rFonts w:eastAsia="仿宋" w:cs="Times New Roman"/>
          <w:snapToGrid w:val="0"/>
          <w:color w:val="000000" w:themeColor="text1"/>
          <w:spacing w:val="6"/>
          <w:kern w:val="0"/>
          <w:sz w:val="24"/>
          <w:szCs w:val="24"/>
        </w:rPr>
        <w:t>本行在投融资决策过程中，进行环境风险与收益的综合分析，确保气候投融资相关决策的科学性和合理性。</w:t>
      </w:r>
    </w:p>
    <w:p w:rsidR="00EE0247" w:rsidRDefault="007240D0" w:rsidP="00D241E6">
      <w:pPr>
        <w:widowControl/>
        <w:kinsoku w:val="0"/>
        <w:autoSpaceDE w:val="0"/>
        <w:autoSpaceDN w:val="0"/>
        <w:adjustRightInd w:val="0"/>
        <w:snapToGrid w:val="0"/>
        <w:spacing w:beforeLines="50" w:line="240" w:lineRule="auto"/>
        <w:ind w:firstLine="506"/>
        <w:textAlignment w:val="baseline"/>
        <w:rPr>
          <w:rFonts w:eastAsia="仿宋" w:cs="Times New Roman"/>
          <w:snapToGrid w:val="0"/>
          <w:color w:val="000000" w:themeColor="text1"/>
          <w:spacing w:val="6"/>
          <w:kern w:val="0"/>
          <w:sz w:val="24"/>
          <w:szCs w:val="24"/>
        </w:rPr>
      </w:pPr>
      <w:r>
        <w:rPr>
          <w:rFonts w:eastAsia="仿宋" w:cs="Times New Roman"/>
          <w:b/>
          <w:bCs/>
          <w:snapToGrid w:val="0"/>
          <w:color w:val="000000" w:themeColor="text1"/>
          <w:spacing w:val="6"/>
          <w:kern w:val="0"/>
          <w:sz w:val="24"/>
          <w:szCs w:val="24"/>
        </w:rPr>
        <w:t>3</w:t>
      </w:r>
      <w:r>
        <w:rPr>
          <w:rFonts w:eastAsia="仿宋" w:cs="Times New Roman"/>
          <w:b/>
          <w:bCs/>
          <w:snapToGrid w:val="0"/>
          <w:color w:val="000000" w:themeColor="text1"/>
          <w:spacing w:val="6"/>
          <w:kern w:val="0"/>
          <w:sz w:val="24"/>
          <w:szCs w:val="24"/>
        </w:rPr>
        <w:t>）优先级排序：</w:t>
      </w:r>
      <w:r>
        <w:rPr>
          <w:rFonts w:eastAsia="仿宋" w:cs="Times New Roman"/>
          <w:snapToGrid w:val="0"/>
          <w:color w:val="000000" w:themeColor="text1"/>
          <w:spacing w:val="6"/>
          <w:kern w:val="0"/>
          <w:sz w:val="24"/>
          <w:szCs w:val="24"/>
        </w:rPr>
        <w:t>本行根据环境议题的重要性和紧迫性，对各项议题进行优先级排序，确保资源得到合理配置。</w:t>
      </w:r>
    </w:p>
    <w:p w:rsidR="00EE0247" w:rsidRDefault="007240D0" w:rsidP="00D241E6">
      <w:pPr>
        <w:widowControl/>
        <w:kinsoku w:val="0"/>
        <w:autoSpaceDE w:val="0"/>
        <w:autoSpaceDN w:val="0"/>
        <w:adjustRightInd w:val="0"/>
        <w:snapToGrid w:val="0"/>
        <w:spacing w:beforeLines="50" w:line="240" w:lineRule="auto"/>
        <w:ind w:firstLine="480"/>
        <w:textAlignment w:val="baseline"/>
        <w:rPr>
          <w:rFonts w:eastAsia="黑体" w:cs="Times New Roman"/>
          <w:color w:val="000000" w:themeColor="text1"/>
          <w:sz w:val="24"/>
          <w:szCs w:val="24"/>
        </w:rPr>
      </w:pPr>
      <w:r>
        <w:rPr>
          <w:rFonts w:eastAsia="黑体" w:cs="Times New Roman"/>
          <w:color w:val="000000" w:themeColor="text1"/>
          <w:sz w:val="24"/>
          <w:szCs w:val="24"/>
        </w:rPr>
        <w:t>5.2.3</w:t>
      </w:r>
      <w:r>
        <w:rPr>
          <w:rFonts w:eastAsia="黑体" w:cs="Times New Roman"/>
          <w:color w:val="000000" w:themeColor="text1"/>
          <w:sz w:val="24"/>
          <w:szCs w:val="24"/>
        </w:rPr>
        <w:t>管理方针</w:t>
      </w:r>
    </w:p>
    <w:p w:rsidR="00EE0247" w:rsidRDefault="007240D0" w:rsidP="00D241E6">
      <w:pPr>
        <w:widowControl/>
        <w:kinsoku w:val="0"/>
        <w:autoSpaceDE w:val="0"/>
        <w:autoSpaceDN w:val="0"/>
        <w:adjustRightInd w:val="0"/>
        <w:snapToGrid w:val="0"/>
        <w:spacing w:beforeLines="50" w:line="240" w:lineRule="auto"/>
        <w:ind w:firstLine="506"/>
        <w:textAlignment w:val="baseline"/>
        <w:rPr>
          <w:rFonts w:eastAsia="仿宋" w:cs="Times New Roman"/>
          <w:snapToGrid w:val="0"/>
          <w:color w:val="000000" w:themeColor="text1"/>
          <w:spacing w:val="6"/>
          <w:kern w:val="0"/>
          <w:sz w:val="24"/>
          <w:szCs w:val="24"/>
        </w:rPr>
      </w:pPr>
      <w:r>
        <w:rPr>
          <w:rFonts w:eastAsia="仿宋" w:cs="Times New Roman"/>
          <w:b/>
          <w:bCs/>
          <w:snapToGrid w:val="0"/>
          <w:color w:val="000000" w:themeColor="text1"/>
          <w:spacing w:val="6"/>
          <w:kern w:val="0"/>
          <w:sz w:val="24"/>
          <w:szCs w:val="24"/>
        </w:rPr>
        <w:t>1</w:t>
      </w:r>
      <w:r>
        <w:rPr>
          <w:rFonts w:eastAsia="仿宋" w:cs="Times New Roman"/>
          <w:b/>
          <w:bCs/>
          <w:snapToGrid w:val="0"/>
          <w:color w:val="000000" w:themeColor="text1"/>
          <w:spacing w:val="6"/>
          <w:kern w:val="0"/>
          <w:sz w:val="24"/>
          <w:szCs w:val="24"/>
        </w:rPr>
        <w:t>）承诺与目标：</w:t>
      </w:r>
      <w:r>
        <w:rPr>
          <w:rFonts w:eastAsia="仿宋" w:cs="Times New Roman"/>
          <w:snapToGrid w:val="0"/>
          <w:color w:val="000000" w:themeColor="text1"/>
          <w:spacing w:val="6"/>
          <w:kern w:val="0"/>
          <w:sz w:val="24"/>
          <w:szCs w:val="24"/>
        </w:rPr>
        <w:t>本行承诺在绿色金融领域持续努力积极应对环境风险挑战，逐步设定明确的绿色发展目标，包括不限于自身</w:t>
      </w:r>
      <w:proofErr w:type="gramStart"/>
      <w:r>
        <w:rPr>
          <w:rFonts w:eastAsia="仿宋" w:cs="Times New Roman"/>
          <w:snapToGrid w:val="0"/>
          <w:color w:val="000000" w:themeColor="text1"/>
          <w:spacing w:val="6"/>
          <w:kern w:val="0"/>
          <w:sz w:val="24"/>
          <w:szCs w:val="24"/>
        </w:rPr>
        <w:t>经营碳减排</w:t>
      </w:r>
      <w:proofErr w:type="gramEnd"/>
      <w:r>
        <w:rPr>
          <w:rFonts w:eastAsia="仿宋" w:cs="Times New Roman"/>
          <w:snapToGrid w:val="0"/>
          <w:color w:val="000000" w:themeColor="text1"/>
          <w:spacing w:val="6"/>
          <w:kern w:val="0"/>
          <w:sz w:val="24"/>
          <w:szCs w:val="24"/>
        </w:rPr>
        <w:t>目标、投融资碳排放总量和强度控制目标、绿色</w:t>
      </w:r>
      <w:proofErr w:type="gramStart"/>
      <w:r>
        <w:rPr>
          <w:rFonts w:eastAsia="仿宋" w:cs="Times New Roman"/>
          <w:snapToGrid w:val="0"/>
          <w:color w:val="000000" w:themeColor="text1"/>
          <w:spacing w:val="6"/>
          <w:kern w:val="0"/>
          <w:sz w:val="24"/>
          <w:szCs w:val="24"/>
        </w:rPr>
        <w:t>资产碳减排</w:t>
      </w:r>
      <w:proofErr w:type="gramEnd"/>
      <w:r>
        <w:rPr>
          <w:rFonts w:eastAsia="仿宋" w:cs="Times New Roman"/>
          <w:snapToGrid w:val="0"/>
          <w:color w:val="000000" w:themeColor="text1"/>
          <w:spacing w:val="6"/>
          <w:kern w:val="0"/>
          <w:sz w:val="24"/>
          <w:szCs w:val="24"/>
        </w:rPr>
        <w:t>和环境效益目标等。</w:t>
      </w:r>
    </w:p>
    <w:p w:rsidR="00EE0247" w:rsidRDefault="007240D0" w:rsidP="00D241E6">
      <w:pPr>
        <w:widowControl/>
        <w:kinsoku w:val="0"/>
        <w:autoSpaceDE w:val="0"/>
        <w:autoSpaceDN w:val="0"/>
        <w:adjustRightInd w:val="0"/>
        <w:snapToGrid w:val="0"/>
        <w:spacing w:beforeLines="50" w:line="240" w:lineRule="auto"/>
        <w:ind w:firstLine="506"/>
        <w:textAlignment w:val="baseline"/>
        <w:rPr>
          <w:rFonts w:eastAsia="仿宋" w:cs="Times New Roman"/>
          <w:snapToGrid w:val="0"/>
          <w:color w:val="000000" w:themeColor="text1"/>
          <w:spacing w:val="6"/>
          <w:kern w:val="0"/>
          <w:sz w:val="24"/>
          <w:szCs w:val="24"/>
        </w:rPr>
      </w:pPr>
      <w:r>
        <w:rPr>
          <w:rFonts w:eastAsia="仿宋" w:cs="Times New Roman"/>
          <w:b/>
          <w:bCs/>
          <w:snapToGrid w:val="0"/>
          <w:color w:val="000000" w:themeColor="text1"/>
          <w:spacing w:val="6"/>
          <w:kern w:val="0"/>
          <w:sz w:val="24"/>
          <w:szCs w:val="24"/>
        </w:rPr>
        <w:t>2</w:t>
      </w:r>
      <w:r>
        <w:rPr>
          <w:rFonts w:eastAsia="仿宋" w:cs="Times New Roman"/>
          <w:b/>
          <w:bCs/>
          <w:snapToGrid w:val="0"/>
          <w:color w:val="000000" w:themeColor="text1"/>
          <w:spacing w:val="6"/>
          <w:kern w:val="0"/>
          <w:sz w:val="24"/>
          <w:szCs w:val="24"/>
        </w:rPr>
        <w:t>）透明与沟通：</w:t>
      </w:r>
      <w:r>
        <w:rPr>
          <w:rFonts w:eastAsia="仿宋" w:cs="Times New Roman"/>
          <w:snapToGrid w:val="0"/>
          <w:color w:val="000000" w:themeColor="text1"/>
          <w:spacing w:val="6"/>
          <w:kern w:val="0"/>
          <w:sz w:val="24"/>
          <w:szCs w:val="24"/>
        </w:rPr>
        <w:t>本行通过环境信息披露报告、</w:t>
      </w:r>
      <w:r>
        <w:rPr>
          <w:rFonts w:eastAsia="仿宋" w:cs="Times New Roman"/>
          <w:snapToGrid w:val="0"/>
          <w:color w:val="000000" w:themeColor="text1"/>
          <w:spacing w:val="6"/>
          <w:kern w:val="0"/>
          <w:sz w:val="24"/>
          <w:szCs w:val="24"/>
        </w:rPr>
        <w:t>ESG</w:t>
      </w:r>
      <w:r>
        <w:rPr>
          <w:rFonts w:eastAsia="仿宋" w:cs="Times New Roman"/>
          <w:snapToGrid w:val="0"/>
          <w:color w:val="000000" w:themeColor="text1"/>
          <w:spacing w:val="6"/>
          <w:kern w:val="0"/>
          <w:sz w:val="24"/>
          <w:szCs w:val="24"/>
        </w:rPr>
        <w:t>报告、年度报告、官方网站等渠道，及时向利益相关方披露环境风险管理情况和转型成效，加强与利益相关方的沟通和信息透明度，回应利益相关方的关切和期望。</w:t>
      </w:r>
    </w:p>
    <w:p w:rsidR="00EE0247" w:rsidRDefault="007240D0" w:rsidP="00D241E6">
      <w:pPr>
        <w:widowControl/>
        <w:kinsoku w:val="0"/>
        <w:autoSpaceDE w:val="0"/>
        <w:autoSpaceDN w:val="0"/>
        <w:adjustRightInd w:val="0"/>
        <w:snapToGrid w:val="0"/>
        <w:spacing w:beforeLines="50" w:line="240" w:lineRule="auto"/>
        <w:ind w:firstLine="506"/>
        <w:textAlignment w:val="baseline"/>
        <w:rPr>
          <w:rFonts w:eastAsia="仿宋" w:cs="Times New Roman"/>
          <w:snapToGrid w:val="0"/>
          <w:color w:val="000000" w:themeColor="text1"/>
          <w:spacing w:val="6"/>
          <w:kern w:val="0"/>
          <w:sz w:val="24"/>
          <w:szCs w:val="24"/>
        </w:rPr>
      </w:pPr>
      <w:r>
        <w:rPr>
          <w:rFonts w:eastAsia="仿宋" w:cs="Times New Roman"/>
          <w:b/>
          <w:bCs/>
          <w:snapToGrid w:val="0"/>
          <w:color w:val="000000" w:themeColor="text1"/>
          <w:spacing w:val="6"/>
          <w:kern w:val="0"/>
          <w:sz w:val="24"/>
          <w:szCs w:val="24"/>
        </w:rPr>
        <w:t>3</w:t>
      </w:r>
      <w:r>
        <w:rPr>
          <w:rFonts w:eastAsia="仿宋" w:cs="Times New Roman"/>
          <w:b/>
          <w:bCs/>
          <w:snapToGrid w:val="0"/>
          <w:color w:val="000000" w:themeColor="text1"/>
          <w:spacing w:val="6"/>
          <w:kern w:val="0"/>
          <w:sz w:val="24"/>
          <w:szCs w:val="24"/>
        </w:rPr>
        <w:t>）持续改进</w:t>
      </w:r>
      <w:r>
        <w:rPr>
          <w:rFonts w:eastAsia="仿宋" w:cs="Times New Roman"/>
          <w:snapToGrid w:val="0"/>
          <w:color w:val="000000" w:themeColor="text1"/>
          <w:spacing w:val="6"/>
          <w:kern w:val="0"/>
          <w:sz w:val="24"/>
          <w:szCs w:val="24"/>
        </w:rPr>
        <w:t>：建立利益相关</w:t>
      </w:r>
      <w:proofErr w:type="gramStart"/>
      <w:r>
        <w:rPr>
          <w:rFonts w:eastAsia="仿宋" w:cs="Times New Roman"/>
          <w:snapToGrid w:val="0"/>
          <w:color w:val="000000" w:themeColor="text1"/>
          <w:spacing w:val="6"/>
          <w:kern w:val="0"/>
          <w:sz w:val="24"/>
          <w:szCs w:val="24"/>
        </w:rPr>
        <w:t>方环境</w:t>
      </w:r>
      <w:proofErr w:type="gramEnd"/>
      <w:r>
        <w:rPr>
          <w:rFonts w:eastAsia="仿宋" w:cs="Times New Roman"/>
          <w:snapToGrid w:val="0"/>
          <w:color w:val="000000" w:themeColor="text1"/>
          <w:spacing w:val="6"/>
          <w:kern w:val="0"/>
          <w:sz w:val="24"/>
          <w:szCs w:val="24"/>
        </w:rPr>
        <w:t>议题持续改进机制，不断优化本行环境风险管理流程和改进措施，提升整体环境绩效。与利益相关各方共同推动可持续发展目标的实现。</w:t>
      </w:r>
    </w:p>
    <w:p w:rsidR="00EE0247" w:rsidRDefault="007240D0">
      <w:pPr>
        <w:pStyle w:val="2"/>
        <w:rPr>
          <w:rFonts w:ascii="Times New Roman" w:hAnsi="Times New Roman" w:hint="default"/>
        </w:rPr>
      </w:pPr>
      <w:bookmarkStart w:id="21" w:name="_Toc25947"/>
      <w:bookmarkStart w:id="22" w:name="_Toc206595322"/>
      <w:r>
        <w:rPr>
          <w:rFonts w:ascii="Times New Roman" w:hAnsi="Times New Roman" w:hint="default"/>
        </w:rPr>
        <w:t>5.3</w:t>
      </w:r>
      <w:r>
        <w:rPr>
          <w:rFonts w:ascii="Times New Roman" w:hAnsi="Times New Roman" w:hint="default"/>
        </w:rPr>
        <w:t>情景分析与压力测试</w:t>
      </w:r>
      <w:bookmarkEnd w:id="21"/>
      <w:bookmarkEnd w:id="22"/>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全球的央行与监管机构正在形成一个新的共识，即环境风险（涵盖与环境和气候相关的风险）已经成为金融风险的重大来源之一，环境和气候因素可能会演化为金融机构所面临的金融风险，也可能会对金融稳定构成系统性的威胁。本行在气候风险情景分析与压力测试方面还处于理论研究阶段，以下是本行对气候风险情景分析与压力测试采用的理论模型的提炼。</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黑体" w:cs="Times New Roman"/>
          <w:snapToGrid w:val="0"/>
          <w:color w:val="000000" w:themeColor="text1"/>
          <w:spacing w:val="6"/>
          <w:kern w:val="0"/>
          <w:sz w:val="24"/>
          <w:szCs w:val="24"/>
        </w:rPr>
      </w:pPr>
      <w:r>
        <w:rPr>
          <w:rFonts w:eastAsia="黑体" w:cs="Times New Roman"/>
          <w:snapToGrid w:val="0"/>
          <w:color w:val="000000" w:themeColor="text1"/>
          <w:spacing w:val="6"/>
          <w:kern w:val="0"/>
          <w:sz w:val="24"/>
          <w:szCs w:val="24"/>
        </w:rPr>
        <w:lastRenderedPageBreak/>
        <w:t xml:space="preserve">5.3.1 </w:t>
      </w:r>
      <w:r>
        <w:rPr>
          <w:rFonts w:eastAsia="黑体" w:cs="Times New Roman"/>
          <w:snapToGrid w:val="0"/>
          <w:color w:val="000000" w:themeColor="text1"/>
          <w:spacing w:val="6"/>
          <w:kern w:val="0"/>
          <w:sz w:val="24"/>
          <w:szCs w:val="24"/>
        </w:rPr>
        <w:t>气候风险</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w:t>
      </w:r>
      <w:r>
        <w:rPr>
          <w:rFonts w:eastAsia="仿宋" w:cs="Times New Roman"/>
          <w:bCs/>
          <w:snapToGrid w:val="0"/>
          <w:color w:val="000000" w:themeColor="text1"/>
          <w:spacing w:val="6"/>
          <w:kern w:val="0"/>
          <w:sz w:val="24"/>
          <w:szCs w:val="24"/>
        </w:rPr>
        <w:t>1</w:t>
      </w:r>
      <w:r>
        <w:rPr>
          <w:rFonts w:eastAsia="仿宋" w:cs="Times New Roman"/>
          <w:bCs/>
          <w:snapToGrid w:val="0"/>
          <w:color w:val="000000" w:themeColor="text1"/>
          <w:spacing w:val="6"/>
          <w:kern w:val="0"/>
          <w:sz w:val="24"/>
          <w:szCs w:val="24"/>
        </w:rPr>
        <w:t>）物理风险：源于影响日益增大且频繁发生的高温热浪、洪灾、暴风雪等极端天气事件以及海平面上升和平均气温上升等长期气候变化风险。</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w:t>
      </w:r>
      <w:r>
        <w:rPr>
          <w:rFonts w:eastAsia="仿宋" w:cs="Times New Roman"/>
          <w:bCs/>
          <w:snapToGrid w:val="0"/>
          <w:color w:val="000000" w:themeColor="text1"/>
          <w:spacing w:val="6"/>
          <w:kern w:val="0"/>
          <w:sz w:val="24"/>
          <w:szCs w:val="24"/>
        </w:rPr>
        <w:t>2</w:t>
      </w:r>
      <w:r>
        <w:rPr>
          <w:rFonts w:eastAsia="仿宋" w:cs="Times New Roman"/>
          <w:bCs/>
          <w:snapToGrid w:val="0"/>
          <w:color w:val="000000" w:themeColor="text1"/>
          <w:spacing w:val="6"/>
          <w:kern w:val="0"/>
          <w:sz w:val="24"/>
          <w:szCs w:val="24"/>
        </w:rPr>
        <w:t>）转型风险：向低碳经济转型的伴生风险。推动</w:t>
      </w:r>
      <w:proofErr w:type="gramStart"/>
      <w:r>
        <w:rPr>
          <w:rFonts w:eastAsia="仿宋" w:cs="Times New Roman"/>
          <w:bCs/>
          <w:snapToGrid w:val="0"/>
          <w:color w:val="000000" w:themeColor="text1"/>
          <w:spacing w:val="6"/>
          <w:kern w:val="0"/>
          <w:sz w:val="24"/>
          <w:szCs w:val="24"/>
        </w:rPr>
        <w:t>转型进程</w:t>
      </w:r>
      <w:proofErr w:type="gramEnd"/>
      <w:r>
        <w:rPr>
          <w:rFonts w:eastAsia="仿宋" w:cs="Times New Roman"/>
          <w:bCs/>
          <w:snapToGrid w:val="0"/>
          <w:color w:val="000000" w:themeColor="text1"/>
          <w:spacing w:val="6"/>
          <w:kern w:val="0"/>
          <w:sz w:val="24"/>
          <w:szCs w:val="24"/>
        </w:rPr>
        <w:t>需要政府出台刺激措施，而许多企业、投资人和借款人或因此面临高额的转型成本。有序高效的转型可能蕴藏巨大发展机遇，但那些投资或从事碳密集型产业的企业则可能面临资产搁浅的风险。</w:t>
      </w:r>
      <w:proofErr w:type="spellStart"/>
      <w:r>
        <w:rPr>
          <w:rFonts w:eastAsia="仿宋" w:cs="Times New Roman"/>
          <w:bCs/>
          <w:snapToGrid w:val="0"/>
          <w:color w:val="000000" w:themeColor="text1"/>
          <w:spacing w:val="6"/>
          <w:kern w:val="0"/>
          <w:sz w:val="24"/>
          <w:szCs w:val="24"/>
        </w:rPr>
        <w:t>i</w:t>
      </w:r>
      <w:proofErr w:type="spellEnd"/>
      <w:r>
        <w:rPr>
          <w:rFonts w:eastAsia="仿宋" w:cs="Times New Roman"/>
          <w:bCs/>
          <w:snapToGrid w:val="0"/>
          <w:color w:val="000000" w:themeColor="text1"/>
          <w:spacing w:val="6"/>
          <w:kern w:val="0"/>
          <w:sz w:val="24"/>
          <w:szCs w:val="24"/>
        </w:rPr>
        <w:t>.</w:t>
      </w:r>
      <w:r>
        <w:rPr>
          <w:rFonts w:eastAsia="仿宋" w:cs="Times New Roman"/>
          <w:bCs/>
          <w:snapToGrid w:val="0"/>
          <w:color w:val="000000" w:themeColor="text1"/>
          <w:spacing w:val="6"/>
          <w:kern w:val="0"/>
          <w:sz w:val="24"/>
          <w:szCs w:val="24"/>
        </w:rPr>
        <w:t>政策风险－交易对手政策和立法环境的变化，例如通过碳定价、税收或限额交易等直接成本，或者通过补贴金额变化、推行可再生能源义务等间接成本影响转型；</w:t>
      </w:r>
      <w:r>
        <w:rPr>
          <w:rFonts w:eastAsia="仿宋" w:cs="Times New Roman"/>
          <w:bCs/>
          <w:snapToGrid w:val="0"/>
          <w:color w:val="000000" w:themeColor="text1"/>
          <w:spacing w:val="6"/>
          <w:kern w:val="0"/>
          <w:sz w:val="24"/>
          <w:szCs w:val="24"/>
        </w:rPr>
        <w:t>ii.</w:t>
      </w:r>
      <w:r>
        <w:rPr>
          <w:rFonts w:eastAsia="仿宋" w:cs="Times New Roman"/>
          <w:bCs/>
          <w:snapToGrid w:val="0"/>
          <w:color w:val="000000" w:themeColor="text1"/>
          <w:spacing w:val="6"/>
          <w:kern w:val="0"/>
          <w:sz w:val="24"/>
          <w:szCs w:val="24"/>
        </w:rPr>
        <w:t>技术风险－技术可用性和相对成本的变化，例如可再生能源技术和能源储存成本下降以及从页岩油藏、油砂或者深海油田提炼化石燃料的高昂成本。</w:t>
      </w:r>
    </w:p>
    <w:p w:rsidR="00EE0247" w:rsidRDefault="007240D0" w:rsidP="00D241E6">
      <w:pPr>
        <w:widowControl/>
        <w:kinsoku w:val="0"/>
        <w:autoSpaceDE w:val="0"/>
        <w:autoSpaceDN w:val="0"/>
        <w:adjustRightInd w:val="0"/>
        <w:snapToGrid w:val="0"/>
        <w:spacing w:beforeLines="50" w:line="240" w:lineRule="auto"/>
        <w:ind w:firstLineChars="0" w:firstLine="0"/>
        <w:textAlignment w:val="baseline"/>
        <w:rPr>
          <w:rFonts w:eastAsia="仿宋" w:cs="Times New Roman"/>
          <w:snapToGrid w:val="0"/>
          <w:color w:val="000000" w:themeColor="text1"/>
          <w:spacing w:val="6"/>
          <w:kern w:val="0"/>
          <w:sz w:val="24"/>
          <w:szCs w:val="24"/>
        </w:rPr>
      </w:pPr>
      <w:r>
        <w:rPr>
          <w:rFonts w:cs="Times New Roman"/>
          <w:bCs/>
          <w:noProof/>
        </w:rPr>
        <w:drawing>
          <wp:inline distT="0" distB="0" distL="114300" distR="114300">
            <wp:extent cx="5271770" cy="1967230"/>
            <wp:effectExtent l="0" t="0" r="5080" b="1397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22" cstate="print"/>
                    <a:srcRect t="10592"/>
                    <a:stretch>
                      <a:fillRect/>
                    </a:stretch>
                  </pic:blipFill>
                  <pic:spPr>
                    <a:xfrm>
                      <a:off x="0" y="0"/>
                      <a:ext cx="5271770" cy="1967230"/>
                    </a:xfrm>
                    <a:prstGeom prst="rect">
                      <a:avLst/>
                    </a:prstGeom>
                    <a:noFill/>
                    <a:ln>
                      <a:noFill/>
                    </a:ln>
                  </pic:spPr>
                </pic:pic>
              </a:graphicData>
            </a:graphic>
          </wp:inline>
        </w:drawing>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黑体" w:cs="Times New Roman"/>
          <w:snapToGrid w:val="0"/>
          <w:color w:val="000000" w:themeColor="text1"/>
          <w:spacing w:val="6"/>
          <w:kern w:val="0"/>
          <w:sz w:val="24"/>
          <w:szCs w:val="24"/>
        </w:rPr>
      </w:pPr>
      <w:r>
        <w:rPr>
          <w:rFonts w:eastAsia="黑体" w:cs="Times New Roman"/>
          <w:snapToGrid w:val="0"/>
          <w:color w:val="000000" w:themeColor="text1"/>
          <w:spacing w:val="6"/>
          <w:kern w:val="0"/>
          <w:sz w:val="24"/>
          <w:szCs w:val="24"/>
        </w:rPr>
        <w:t xml:space="preserve">5.3.2 </w:t>
      </w:r>
      <w:r>
        <w:rPr>
          <w:rFonts w:eastAsia="黑体" w:cs="Times New Roman"/>
          <w:snapToGrid w:val="0"/>
          <w:color w:val="000000" w:themeColor="text1"/>
          <w:spacing w:val="6"/>
          <w:kern w:val="0"/>
          <w:sz w:val="24"/>
          <w:szCs w:val="24"/>
        </w:rPr>
        <w:t>情景分析</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前瞻性气候风险评估的基础是设计一个或一组情景，且这些情景最能符合关于气候、社会和经济的一些假设，其中的核心假设是全球气温目标或排放路径。央行绿色金融网络（</w:t>
      </w:r>
      <w:r>
        <w:rPr>
          <w:rFonts w:eastAsia="仿宋" w:cs="Times New Roman"/>
          <w:bCs/>
          <w:snapToGrid w:val="0"/>
          <w:color w:val="000000" w:themeColor="text1"/>
          <w:spacing w:val="6"/>
          <w:kern w:val="0"/>
          <w:sz w:val="24"/>
          <w:szCs w:val="24"/>
        </w:rPr>
        <w:t>NGFS</w:t>
      </w:r>
      <w:r>
        <w:rPr>
          <w:rFonts w:eastAsia="仿宋" w:cs="Times New Roman"/>
          <w:bCs/>
          <w:snapToGrid w:val="0"/>
          <w:color w:val="000000" w:themeColor="text1"/>
          <w:spacing w:val="6"/>
          <w:kern w:val="0"/>
          <w:sz w:val="24"/>
          <w:szCs w:val="24"/>
        </w:rPr>
        <w:t>）发布《金融机构环境风险分析综述》和《案例集》，情景开发方面的新进展是发布了</w:t>
      </w:r>
      <w:r>
        <w:rPr>
          <w:rFonts w:eastAsia="仿宋" w:cs="Times New Roman"/>
          <w:bCs/>
          <w:snapToGrid w:val="0"/>
          <w:color w:val="000000" w:themeColor="text1"/>
          <w:spacing w:val="6"/>
          <w:kern w:val="0"/>
          <w:sz w:val="24"/>
          <w:szCs w:val="24"/>
        </w:rPr>
        <w:t>NGFS</w:t>
      </w:r>
      <w:r>
        <w:rPr>
          <w:rFonts w:eastAsia="仿宋" w:cs="Times New Roman"/>
          <w:bCs/>
          <w:snapToGrid w:val="0"/>
          <w:color w:val="000000" w:themeColor="text1"/>
          <w:spacing w:val="6"/>
          <w:kern w:val="0"/>
          <w:sz w:val="24"/>
          <w:szCs w:val="24"/>
        </w:rPr>
        <w:t>三大情景：</w:t>
      </w:r>
      <w:proofErr w:type="spellStart"/>
      <w:r>
        <w:rPr>
          <w:rFonts w:eastAsia="仿宋" w:cs="Times New Roman"/>
          <w:bCs/>
          <w:snapToGrid w:val="0"/>
          <w:color w:val="000000" w:themeColor="text1"/>
          <w:spacing w:val="6"/>
          <w:kern w:val="0"/>
          <w:sz w:val="24"/>
          <w:szCs w:val="24"/>
        </w:rPr>
        <w:t>i</w:t>
      </w:r>
      <w:proofErr w:type="spellEnd"/>
      <w:r>
        <w:rPr>
          <w:rFonts w:eastAsia="仿宋" w:cs="Times New Roman"/>
          <w:bCs/>
          <w:snapToGrid w:val="0"/>
          <w:color w:val="000000" w:themeColor="text1"/>
          <w:spacing w:val="6"/>
          <w:kern w:val="0"/>
          <w:sz w:val="24"/>
          <w:szCs w:val="24"/>
        </w:rPr>
        <w:t>.</w:t>
      </w:r>
      <w:r>
        <w:rPr>
          <w:rFonts w:eastAsia="仿宋" w:cs="Times New Roman"/>
          <w:bCs/>
          <w:snapToGrid w:val="0"/>
          <w:color w:val="000000" w:themeColor="text1"/>
          <w:spacing w:val="6"/>
          <w:kern w:val="0"/>
          <w:sz w:val="24"/>
          <w:szCs w:val="24"/>
        </w:rPr>
        <w:t>有序转型（气温升幅控制在</w:t>
      </w:r>
      <w:r>
        <w:rPr>
          <w:rFonts w:eastAsia="仿宋" w:cs="Times New Roman"/>
          <w:bCs/>
          <w:snapToGrid w:val="0"/>
          <w:color w:val="000000" w:themeColor="text1"/>
          <w:spacing w:val="6"/>
          <w:kern w:val="0"/>
          <w:sz w:val="24"/>
          <w:szCs w:val="24"/>
        </w:rPr>
        <w:t>1.5-2°C</w:t>
      </w:r>
      <w:r>
        <w:rPr>
          <w:rFonts w:eastAsia="仿宋" w:cs="Times New Roman"/>
          <w:bCs/>
          <w:snapToGrid w:val="0"/>
          <w:color w:val="000000" w:themeColor="text1"/>
          <w:spacing w:val="6"/>
          <w:kern w:val="0"/>
          <w:sz w:val="24"/>
          <w:szCs w:val="24"/>
        </w:rPr>
        <w:t>）；</w:t>
      </w:r>
      <w:r>
        <w:rPr>
          <w:rFonts w:eastAsia="仿宋" w:cs="Times New Roman"/>
          <w:bCs/>
          <w:snapToGrid w:val="0"/>
          <w:color w:val="000000" w:themeColor="text1"/>
          <w:spacing w:val="6"/>
          <w:kern w:val="0"/>
          <w:sz w:val="24"/>
          <w:szCs w:val="24"/>
        </w:rPr>
        <w:t>ii.</w:t>
      </w:r>
      <w:r>
        <w:rPr>
          <w:rFonts w:eastAsia="仿宋" w:cs="Times New Roman"/>
          <w:bCs/>
          <w:snapToGrid w:val="0"/>
          <w:color w:val="000000" w:themeColor="text1"/>
          <w:spacing w:val="6"/>
          <w:kern w:val="0"/>
          <w:sz w:val="24"/>
          <w:szCs w:val="24"/>
        </w:rPr>
        <w:t>无序转型（气温升幅控制在</w:t>
      </w:r>
      <w:r>
        <w:rPr>
          <w:rFonts w:eastAsia="仿宋" w:cs="Times New Roman"/>
          <w:bCs/>
          <w:snapToGrid w:val="0"/>
          <w:color w:val="000000" w:themeColor="text1"/>
          <w:spacing w:val="6"/>
          <w:kern w:val="0"/>
          <w:sz w:val="24"/>
          <w:szCs w:val="24"/>
        </w:rPr>
        <w:t>1.5-2°C</w:t>
      </w:r>
      <w:r>
        <w:rPr>
          <w:rFonts w:eastAsia="仿宋" w:cs="Times New Roman"/>
          <w:bCs/>
          <w:snapToGrid w:val="0"/>
          <w:color w:val="000000" w:themeColor="text1"/>
          <w:spacing w:val="6"/>
          <w:kern w:val="0"/>
          <w:sz w:val="24"/>
          <w:szCs w:val="24"/>
        </w:rPr>
        <w:t>，但其转型风险高于有序转型）；</w:t>
      </w:r>
      <w:r>
        <w:rPr>
          <w:rFonts w:eastAsia="仿宋" w:cs="Times New Roman"/>
          <w:bCs/>
          <w:snapToGrid w:val="0"/>
          <w:color w:val="000000" w:themeColor="text1"/>
          <w:spacing w:val="6"/>
          <w:kern w:val="0"/>
          <w:sz w:val="24"/>
          <w:szCs w:val="24"/>
        </w:rPr>
        <w:t>iii.</w:t>
      </w:r>
      <w:r>
        <w:rPr>
          <w:rFonts w:eastAsia="仿宋" w:cs="Times New Roman"/>
          <w:bCs/>
          <w:snapToGrid w:val="0"/>
          <w:color w:val="000000" w:themeColor="text1"/>
          <w:spacing w:val="6"/>
          <w:kern w:val="0"/>
          <w:sz w:val="24"/>
          <w:szCs w:val="24"/>
        </w:rPr>
        <w:t>热室世界（仅实施当前政策，气温升幅高于</w:t>
      </w:r>
      <w:r>
        <w:rPr>
          <w:rFonts w:eastAsia="仿宋" w:cs="Times New Roman"/>
          <w:bCs/>
          <w:snapToGrid w:val="0"/>
          <w:color w:val="000000" w:themeColor="text1"/>
          <w:spacing w:val="6"/>
          <w:kern w:val="0"/>
          <w:sz w:val="24"/>
          <w:szCs w:val="24"/>
        </w:rPr>
        <w:t>3°C</w:t>
      </w:r>
      <w:r>
        <w:rPr>
          <w:rFonts w:eastAsia="仿宋" w:cs="Times New Roman"/>
          <w:bCs/>
          <w:snapToGrid w:val="0"/>
          <w:color w:val="000000" w:themeColor="text1"/>
          <w:spacing w:val="6"/>
          <w:kern w:val="0"/>
          <w:sz w:val="24"/>
          <w:szCs w:val="24"/>
        </w:rPr>
        <w:t>，甚至达不到目前的国家自主贡献目标）。</w:t>
      </w:r>
    </w:p>
    <w:p w:rsidR="00EE0247" w:rsidRDefault="007240D0" w:rsidP="00D241E6">
      <w:pPr>
        <w:widowControl/>
        <w:kinsoku w:val="0"/>
        <w:autoSpaceDE w:val="0"/>
        <w:autoSpaceDN w:val="0"/>
        <w:adjustRightInd w:val="0"/>
        <w:snapToGrid w:val="0"/>
        <w:spacing w:beforeLines="50" w:line="240" w:lineRule="auto"/>
        <w:ind w:firstLineChars="0" w:firstLine="0"/>
        <w:textAlignment w:val="baseline"/>
        <w:rPr>
          <w:rFonts w:eastAsia="仿宋" w:cs="Times New Roman"/>
          <w:snapToGrid w:val="0"/>
          <w:color w:val="000000" w:themeColor="text1"/>
          <w:spacing w:val="6"/>
          <w:kern w:val="0"/>
          <w:sz w:val="24"/>
          <w:szCs w:val="24"/>
        </w:rPr>
      </w:pPr>
      <w:r>
        <w:rPr>
          <w:rFonts w:cs="Times New Roman"/>
          <w:bCs/>
          <w:noProof/>
        </w:rPr>
        <w:drawing>
          <wp:inline distT="0" distB="0" distL="114300" distR="114300">
            <wp:extent cx="5269865" cy="2109470"/>
            <wp:effectExtent l="0" t="0" r="6985" b="508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23" cstate="print"/>
                    <a:srcRect t="10216"/>
                    <a:stretch>
                      <a:fillRect/>
                    </a:stretch>
                  </pic:blipFill>
                  <pic:spPr>
                    <a:xfrm>
                      <a:off x="0" y="0"/>
                      <a:ext cx="5269865" cy="2109470"/>
                    </a:xfrm>
                    <a:prstGeom prst="rect">
                      <a:avLst/>
                    </a:prstGeom>
                    <a:noFill/>
                    <a:ln>
                      <a:noFill/>
                    </a:ln>
                  </pic:spPr>
                </pic:pic>
              </a:graphicData>
            </a:graphic>
          </wp:inline>
        </w:drawing>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黑体" w:cs="Times New Roman"/>
          <w:snapToGrid w:val="0"/>
          <w:color w:val="000000" w:themeColor="text1"/>
          <w:spacing w:val="6"/>
          <w:kern w:val="0"/>
          <w:sz w:val="24"/>
          <w:szCs w:val="24"/>
        </w:rPr>
      </w:pPr>
      <w:r>
        <w:rPr>
          <w:rFonts w:eastAsia="黑体" w:cs="Times New Roman"/>
          <w:snapToGrid w:val="0"/>
          <w:color w:val="000000" w:themeColor="text1"/>
          <w:spacing w:val="6"/>
          <w:kern w:val="0"/>
          <w:sz w:val="24"/>
          <w:szCs w:val="24"/>
        </w:rPr>
        <w:lastRenderedPageBreak/>
        <w:t xml:space="preserve">5.3.3 </w:t>
      </w:r>
      <w:r>
        <w:rPr>
          <w:rFonts w:eastAsia="黑体" w:cs="Times New Roman"/>
          <w:snapToGrid w:val="0"/>
          <w:color w:val="000000" w:themeColor="text1"/>
          <w:spacing w:val="6"/>
          <w:kern w:val="0"/>
          <w:sz w:val="24"/>
          <w:szCs w:val="24"/>
        </w:rPr>
        <w:t>压力测试</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在全球气候治理与金融体系深度融合的时代背景下，本行秉持前瞻性战略思维，构建气候风险压力测试创新体系，围绕</w:t>
      </w:r>
      <w:r>
        <w:rPr>
          <w:rFonts w:eastAsia="仿宋" w:cs="Times New Roman"/>
          <w:bCs/>
          <w:snapToGrid w:val="0"/>
          <w:color w:val="000000" w:themeColor="text1"/>
          <w:spacing w:val="6"/>
          <w:kern w:val="0"/>
          <w:sz w:val="24"/>
          <w:szCs w:val="24"/>
        </w:rPr>
        <w:t xml:space="preserve"> "</w:t>
      </w:r>
      <w:proofErr w:type="gramStart"/>
      <w:r>
        <w:rPr>
          <w:rFonts w:eastAsia="仿宋" w:cs="Times New Roman"/>
          <w:bCs/>
          <w:snapToGrid w:val="0"/>
          <w:color w:val="000000" w:themeColor="text1"/>
          <w:spacing w:val="6"/>
          <w:kern w:val="0"/>
          <w:sz w:val="24"/>
          <w:szCs w:val="24"/>
        </w:rPr>
        <w:t>双碳</w:t>
      </w:r>
      <w:r>
        <w:rPr>
          <w:rFonts w:eastAsia="仿宋" w:cs="Times New Roman"/>
          <w:bCs/>
          <w:snapToGrid w:val="0"/>
          <w:color w:val="000000" w:themeColor="text1"/>
          <w:spacing w:val="6"/>
          <w:kern w:val="0"/>
          <w:sz w:val="24"/>
          <w:szCs w:val="24"/>
        </w:rPr>
        <w:t>"</w:t>
      </w:r>
      <w:proofErr w:type="gramEnd"/>
      <w:r>
        <w:rPr>
          <w:rFonts w:eastAsia="仿宋" w:cs="Times New Roman"/>
          <w:bCs/>
          <w:snapToGrid w:val="0"/>
          <w:color w:val="000000" w:themeColor="text1"/>
          <w:spacing w:val="6"/>
          <w:kern w:val="0"/>
          <w:sz w:val="24"/>
          <w:szCs w:val="24"/>
        </w:rPr>
        <w:t xml:space="preserve"> </w:t>
      </w:r>
      <w:r>
        <w:rPr>
          <w:rFonts w:eastAsia="仿宋" w:cs="Times New Roman"/>
          <w:bCs/>
          <w:snapToGrid w:val="0"/>
          <w:color w:val="000000" w:themeColor="text1"/>
          <w:spacing w:val="6"/>
          <w:kern w:val="0"/>
          <w:sz w:val="24"/>
          <w:szCs w:val="24"/>
        </w:rPr>
        <w:t>目标实现与金融稳定维护两大核心维</w:t>
      </w:r>
      <w:proofErr w:type="gramStart"/>
      <w:r>
        <w:rPr>
          <w:rFonts w:eastAsia="仿宋" w:cs="Times New Roman"/>
          <w:bCs/>
          <w:snapToGrid w:val="0"/>
          <w:color w:val="000000" w:themeColor="text1"/>
          <w:spacing w:val="6"/>
          <w:kern w:val="0"/>
          <w:sz w:val="24"/>
          <w:szCs w:val="24"/>
        </w:rPr>
        <w:t>度开展</w:t>
      </w:r>
      <w:proofErr w:type="gramEnd"/>
      <w:r>
        <w:rPr>
          <w:rFonts w:eastAsia="仿宋" w:cs="Times New Roman"/>
          <w:bCs/>
          <w:snapToGrid w:val="0"/>
          <w:color w:val="000000" w:themeColor="text1"/>
          <w:spacing w:val="6"/>
          <w:kern w:val="0"/>
          <w:sz w:val="24"/>
          <w:szCs w:val="24"/>
        </w:rPr>
        <w:t>系统性研究。针对物理风险与转型风险两大关键领域，本行建立了精细化的分析框架：在物理风险层面，创新性地将极端高温、极端低温、台风、干旱、暴雨等五类典型气候灾害，与气温异常波动、台风路径强度变化、蒸发量失衡、降水量骤变等动态监测数据进行深度耦合，构建灾害影响量化传导模型；在转型风险维度，系统剖析能源转型政策冲击、节能</w:t>
      </w:r>
      <w:proofErr w:type="gramStart"/>
      <w:r>
        <w:rPr>
          <w:rFonts w:eastAsia="仿宋" w:cs="Times New Roman"/>
          <w:bCs/>
          <w:snapToGrid w:val="0"/>
          <w:color w:val="000000" w:themeColor="text1"/>
          <w:spacing w:val="6"/>
          <w:kern w:val="0"/>
          <w:sz w:val="24"/>
          <w:szCs w:val="24"/>
        </w:rPr>
        <w:t>降碳技术</w:t>
      </w:r>
      <w:proofErr w:type="gramEnd"/>
      <w:r>
        <w:rPr>
          <w:rFonts w:eastAsia="仿宋" w:cs="Times New Roman"/>
          <w:bCs/>
          <w:snapToGrid w:val="0"/>
          <w:color w:val="000000" w:themeColor="text1"/>
          <w:spacing w:val="6"/>
          <w:kern w:val="0"/>
          <w:sz w:val="24"/>
          <w:szCs w:val="24"/>
        </w:rPr>
        <w:t>迭代、</w:t>
      </w:r>
      <w:proofErr w:type="gramStart"/>
      <w:r>
        <w:rPr>
          <w:rFonts w:eastAsia="仿宋" w:cs="Times New Roman"/>
          <w:bCs/>
          <w:snapToGrid w:val="0"/>
          <w:color w:val="000000" w:themeColor="text1"/>
          <w:spacing w:val="6"/>
          <w:kern w:val="0"/>
          <w:sz w:val="24"/>
          <w:szCs w:val="24"/>
        </w:rPr>
        <w:t>碳市场</w:t>
      </w:r>
      <w:proofErr w:type="gramEnd"/>
      <w:r>
        <w:rPr>
          <w:rFonts w:eastAsia="仿宋" w:cs="Times New Roman"/>
          <w:bCs/>
          <w:snapToGrid w:val="0"/>
          <w:color w:val="000000" w:themeColor="text1"/>
          <w:spacing w:val="6"/>
          <w:kern w:val="0"/>
          <w:sz w:val="24"/>
          <w:szCs w:val="24"/>
        </w:rPr>
        <w:t>规则重构等核心变量，通过多维度指标体系精准捕捉政策与市场变化对金融资产的潜在影响。本行启动高碳行业气候风险压力测试专项工作，以高精度气候数据为基础，结合企业碳排放微观数据，选取本行重点支持的高碳行业作为研究样本，运用前沿风险评估模型与计量方法，深入探究气候风险在行业内部及金融系统间的传导路径。此项研究不仅是对传统压力测试范式的突破，更为金融机构应对气候风险提供可复制、可推广的创新实践范例。通过该项研究，本行致力于推动金融资源向低碳可持续领域高效配置，实现金融服务与气候治理的协同发展。</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在物理情景下：本行基于外部专业研究机构提供的气候预测数据与耦合模型，预测未来急性与慢性气象灾害可能对重点地区、重点行业资产质量造成的影响。根据热浪、寒潮、台风等急性气象灾害的发生频率和发生强度，结合物理风险敏感性资产（农业和渔业）的地理坐标分布，开发物理风险预警模型。结果显示，相关物理风险对本行影响有限。</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在转型情景下：基于能源政策模拟情景模型，针对本行企业客户在</w:t>
      </w:r>
      <w:proofErr w:type="gramStart"/>
      <w:r>
        <w:rPr>
          <w:rFonts w:eastAsia="仿宋" w:cs="Times New Roman"/>
          <w:bCs/>
          <w:snapToGrid w:val="0"/>
          <w:color w:val="000000" w:themeColor="text1"/>
          <w:spacing w:val="6"/>
          <w:kern w:val="0"/>
          <w:sz w:val="24"/>
          <w:szCs w:val="24"/>
        </w:rPr>
        <w:t>碳价冲击</w:t>
      </w:r>
      <w:proofErr w:type="gramEnd"/>
      <w:r>
        <w:rPr>
          <w:rFonts w:eastAsia="仿宋" w:cs="Times New Roman"/>
          <w:bCs/>
          <w:snapToGrid w:val="0"/>
          <w:color w:val="000000" w:themeColor="text1"/>
          <w:spacing w:val="6"/>
          <w:kern w:val="0"/>
          <w:sz w:val="24"/>
          <w:szCs w:val="24"/>
        </w:rPr>
        <w:t>压力测试中未来可能的营业收入、能源成本、碳排放成本、固定资产投资、资产减值等指标的变化曲线进行模拟，量化评估企业违约概率、行业贷款预期损失、银行贷款预期损失率，进而评估相关情景下本行稳健运营的可持续性。结果显示，相关高碳行业转型风险对本行影响有限。</w:t>
      </w:r>
    </w:p>
    <w:p w:rsidR="00EE0247" w:rsidRDefault="00EE0247"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br w:type="page"/>
      </w:r>
    </w:p>
    <w:p w:rsidR="00EE0247" w:rsidRDefault="007240D0">
      <w:pPr>
        <w:pStyle w:val="1"/>
        <w:rPr>
          <w:rFonts w:cs="Times New Roman"/>
        </w:rPr>
      </w:pPr>
      <w:bookmarkStart w:id="23" w:name="_Toc206595323"/>
      <w:r>
        <w:rPr>
          <w:rFonts w:cs="Times New Roman"/>
        </w:rPr>
        <w:lastRenderedPageBreak/>
        <w:t>第六章</w:t>
      </w:r>
      <w:r>
        <w:rPr>
          <w:rFonts w:cs="Times New Roman"/>
        </w:rPr>
        <w:t xml:space="preserve"> </w:t>
      </w:r>
      <w:r>
        <w:rPr>
          <w:rFonts w:cs="Times New Roman"/>
        </w:rPr>
        <w:t>自身经营的环境影响</w:t>
      </w:r>
      <w:bookmarkEnd w:id="23"/>
    </w:p>
    <w:p w:rsidR="00EE0247" w:rsidRDefault="007240D0">
      <w:pPr>
        <w:pStyle w:val="2"/>
        <w:rPr>
          <w:rFonts w:ascii="Times New Roman" w:hAnsi="Times New Roman" w:hint="default"/>
        </w:rPr>
      </w:pPr>
      <w:bookmarkStart w:id="24" w:name="_Toc206595324"/>
      <w:r>
        <w:rPr>
          <w:rFonts w:ascii="Times New Roman" w:hAnsi="Times New Roman" w:hint="default"/>
        </w:rPr>
        <w:t xml:space="preserve">6.1 </w:t>
      </w:r>
      <w:r>
        <w:rPr>
          <w:rFonts w:ascii="Times New Roman" w:hAnsi="Times New Roman" w:hint="default"/>
        </w:rPr>
        <w:t>自身经营的能源和资源消耗</w:t>
      </w:r>
      <w:bookmarkEnd w:id="24"/>
    </w:p>
    <w:p w:rsidR="00EE0247" w:rsidRDefault="007240D0" w:rsidP="00D241E6">
      <w:pPr>
        <w:widowControl/>
        <w:kinsoku w:val="0"/>
        <w:autoSpaceDE w:val="0"/>
        <w:autoSpaceDN w:val="0"/>
        <w:adjustRightInd w:val="0"/>
        <w:snapToGrid w:val="0"/>
        <w:spacing w:beforeLines="50" w:line="240" w:lineRule="auto"/>
        <w:ind w:firstLine="480"/>
        <w:textAlignment w:val="baseline"/>
        <w:rPr>
          <w:rFonts w:eastAsia="黑体" w:cs="Times New Roman"/>
          <w:color w:val="000000" w:themeColor="text1"/>
          <w:sz w:val="24"/>
          <w:szCs w:val="24"/>
        </w:rPr>
      </w:pPr>
      <w:r>
        <w:rPr>
          <w:rFonts w:eastAsia="黑体" w:cs="Times New Roman"/>
          <w:color w:val="000000" w:themeColor="text1"/>
          <w:sz w:val="24"/>
          <w:szCs w:val="24"/>
        </w:rPr>
        <w:t xml:space="preserve">6.1.1 </w:t>
      </w:r>
      <w:r>
        <w:rPr>
          <w:rFonts w:eastAsia="黑体" w:cs="Times New Roman"/>
          <w:color w:val="000000" w:themeColor="text1"/>
          <w:sz w:val="24"/>
          <w:szCs w:val="24"/>
        </w:rPr>
        <w:t>直接能源消耗的化石燃料</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报告年度内本行自身经营的直接能源消耗的化石燃料情况如下：营业办公（</w:t>
      </w:r>
      <w:proofErr w:type="gramStart"/>
      <w:r>
        <w:rPr>
          <w:rFonts w:eastAsia="仿宋" w:cs="Times New Roman"/>
          <w:bCs/>
          <w:snapToGrid w:val="0"/>
          <w:color w:val="000000" w:themeColor="text1"/>
          <w:spacing w:val="6"/>
          <w:kern w:val="0"/>
          <w:sz w:val="24"/>
          <w:szCs w:val="24"/>
        </w:rPr>
        <w:t>含固定源</w:t>
      </w:r>
      <w:proofErr w:type="gramEnd"/>
      <w:r>
        <w:rPr>
          <w:rFonts w:eastAsia="仿宋" w:cs="Times New Roman"/>
          <w:bCs/>
          <w:snapToGrid w:val="0"/>
          <w:color w:val="000000" w:themeColor="text1"/>
          <w:spacing w:val="6"/>
          <w:kern w:val="0"/>
          <w:sz w:val="24"/>
          <w:szCs w:val="24"/>
        </w:rPr>
        <w:t>、移动源）天然气</w:t>
      </w:r>
      <w:r>
        <w:rPr>
          <w:rFonts w:eastAsia="仿宋" w:cs="Times New Roman"/>
          <w:bCs/>
          <w:snapToGrid w:val="0"/>
          <w:color w:val="000000" w:themeColor="text1"/>
          <w:spacing w:val="6"/>
          <w:kern w:val="0"/>
          <w:sz w:val="24"/>
          <w:szCs w:val="24"/>
          <w:u w:val="single"/>
        </w:rPr>
        <w:t xml:space="preserve"> </w:t>
      </w:r>
      <w:r>
        <w:rPr>
          <w:rFonts w:eastAsia="仿宋" w:cs="Times New Roman"/>
          <w:color w:val="000000"/>
          <w:spacing w:val="6"/>
          <w:sz w:val="24"/>
          <w:u w:val="single"/>
        </w:rPr>
        <w:t xml:space="preserve">0.86 </w:t>
      </w:r>
      <w:r>
        <w:rPr>
          <w:rFonts w:eastAsia="仿宋" w:cs="Times New Roman"/>
          <w:bCs/>
          <w:snapToGrid w:val="0"/>
          <w:color w:val="000000" w:themeColor="text1"/>
          <w:spacing w:val="6"/>
          <w:kern w:val="0"/>
          <w:sz w:val="24"/>
          <w:szCs w:val="24"/>
        </w:rPr>
        <w:t>万</w:t>
      </w:r>
      <w:r>
        <w:rPr>
          <w:rFonts w:eastAsia="宋体" w:cs="Times New Roman"/>
          <w:bCs/>
          <w:color w:val="000000" w:themeColor="text1"/>
          <w:kern w:val="0"/>
          <w:sz w:val="24"/>
          <w:szCs w:val="24"/>
        </w:rPr>
        <w:t>Nm</w:t>
      </w:r>
      <w:r>
        <w:rPr>
          <w:rFonts w:eastAsia="宋体" w:cs="Times New Roman"/>
          <w:bCs/>
          <w:color w:val="000000" w:themeColor="text1"/>
          <w:kern w:val="0"/>
          <w:sz w:val="24"/>
          <w:szCs w:val="24"/>
          <w:vertAlign w:val="superscript"/>
        </w:rPr>
        <w:t>3</w:t>
      </w:r>
      <w:r>
        <w:rPr>
          <w:rFonts w:eastAsia="仿宋" w:cs="Times New Roman"/>
          <w:bCs/>
          <w:snapToGrid w:val="0"/>
          <w:color w:val="000000" w:themeColor="text1"/>
          <w:spacing w:val="6"/>
          <w:kern w:val="0"/>
          <w:sz w:val="24"/>
          <w:szCs w:val="24"/>
        </w:rPr>
        <w:t>（</w:t>
      </w:r>
      <w:proofErr w:type="gramStart"/>
      <w:r>
        <w:rPr>
          <w:rFonts w:eastAsia="仿宋" w:cs="Times New Roman"/>
          <w:bCs/>
          <w:snapToGrid w:val="0"/>
          <w:color w:val="000000" w:themeColor="text1"/>
          <w:spacing w:val="6"/>
          <w:kern w:val="0"/>
          <w:sz w:val="24"/>
          <w:szCs w:val="24"/>
        </w:rPr>
        <w:t>万立方米</w:t>
      </w:r>
      <w:proofErr w:type="gramEnd"/>
      <w:r>
        <w:rPr>
          <w:rFonts w:eastAsia="仿宋" w:cs="Times New Roman"/>
          <w:bCs/>
          <w:snapToGrid w:val="0"/>
          <w:color w:val="000000" w:themeColor="text1"/>
          <w:spacing w:val="6"/>
          <w:kern w:val="0"/>
          <w:sz w:val="24"/>
          <w:szCs w:val="24"/>
        </w:rPr>
        <w:t>）、无烟煤消耗</w:t>
      </w:r>
      <w:r>
        <w:rPr>
          <w:rFonts w:eastAsia="仿宋" w:cs="Times New Roman"/>
          <w:bCs/>
          <w:snapToGrid w:val="0"/>
          <w:color w:val="000000" w:themeColor="text1"/>
          <w:spacing w:val="6"/>
          <w:kern w:val="0"/>
          <w:sz w:val="24"/>
          <w:szCs w:val="24"/>
          <w:u w:val="single"/>
        </w:rPr>
        <w:t xml:space="preserve"> 0</w:t>
      </w:r>
      <w:r>
        <w:rPr>
          <w:rFonts w:eastAsia="仿宋" w:cs="Times New Roman"/>
          <w:color w:val="000000"/>
          <w:spacing w:val="6"/>
          <w:sz w:val="24"/>
          <w:u w:val="single"/>
        </w:rPr>
        <w:t xml:space="preserve"> </w:t>
      </w:r>
      <w:r>
        <w:rPr>
          <w:rFonts w:eastAsia="仿宋" w:cs="Times New Roman"/>
          <w:bCs/>
          <w:snapToGrid w:val="0"/>
          <w:color w:val="000000" w:themeColor="text1"/>
          <w:spacing w:val="6"/>
          <w:kern w:val="0"/>
          <w:sz w:val="24"/>
          <w:szCs w:val="24"/>
        </w:rPr>
        <w:t>t</w:t>
      </w:r>
      <w:r>
        <w:rPr>
          <w:rFonts w:eastAsia="仿宋" w:cs="Times New Roman"/>
          <w:bCs/>
          <w:snapToGrid w:val="0"/>
          <w:color w:val="000000" w:themeColor="text1"/>
          <w:spacing w:val="6"/>
          <w:kern w:val="0"/>
          <w:sz w:val="24"/>
          <w:szCs w:val="24"/>
        </w:rPr>
        <w:t>（吨）、汽油消耗</w:t>
      </w:r>
      <w:r>
        <w:rPr>
          <w:rFonts w:eastAsia="仿宋" w:cs="Times New Roman"/>
          <w:bCs/>
          <w:snapToGrid w:val="0"/>
          <w:color w:val="000000" w:themeColor="text1"/>
          <w:spacing w:val="6"/>
          <w:kern w:val="0"/>
          <w:sz w:val="24"/>
          <w:szCs w:val="24"/>
          <w:u w:val="single"/>
        </w:rPr>
        <w:t xml:space="preserve"> </w:t>
      </w:r>
      <w:r>
        <w:rPr>
          <w:rFonts w:eastAsia="仿宋" w:cs="Times New Roman"/>
          <w:color w:val="000000"/>
          <w:spacing w:val="6"/>
          <w:sz w:val="24"/>
          <w:u w:val="single"/>
        </w:rPr>
        <w:t xml:space="preserve">0 </w:t>
      </w:r>
      <w:r>
        <w:rPr>
          <w:rFonts w:eastAsia="仿宋" w:cs="Times New Roman"/>
          <w:bCs/>
          <w:snapToGrid w:val="0"/>
          <w:color w:val="000000" w:themeColor="text1"/>
          <w:spacing w:val="6"/>
          <w:kern w:val="0"/>
          <w:sz w:val="24"/>
          <w:szCs w:val="24"/>
        </w:rPr>
        <w:t>t</w:t>
      </w:r>
      <w:r>
        <w:rPr>
          <w:rFonts w:eastAsia="仿宋" w:cs="Times New Roman"/>
          <w:bCs/>
          <w:snapToGrid w:val="0"/>
          <w:color w:val="000000" w:themeColor="text1"/>
          <w:spacing w:val="6"/>
          <w:kern w:val="0"/>
          <w:sz w:val="24"/>
          <w:szCs w:val="24"/>
        </w:rPr>
        <w:t>（吨）、柴油</w:t>
      </w:r>
      <w:r>
        <w:rPr>
          <w:rFonts w:eastAsia="仿宋" w:cs="Times New Roman"/>
          <w:bCs/>
          <w:snapToGrid w:val="0"/>
          <w:color w:val="000000" w:themeColor="text1"/>
          <w:spacing w:val="6"/>
          <w:kern w:val="0"/>
          <w:sz w:val="24"/>
          <w:szCs w:val="24"/>
          <w:u w:val="single"/>
        </w:rPr>
        <w:t xml:space="preserve"> </w:t>
      </w:r>
      <w:r>
        <w:rPr>
          <w:rFonts w:eastAsia="仿宋" w:cs="Times New Roman"/>
          <w:color w:val="000000"/>
          <w:spacing w:val="6"/>
          <w:sz w:val="24"/>
          <w:u w:val="single"/>
        </w:rPr>
        <w:t xml:space="preserve">0 </w:t>
      </w:r>
      <w:r>
        <w:rPr>
          <w:rFonts w:eastAsia="仿宋" w:cs="Times New Roman"/>
          <w:bCs/>
          <w:snapToGrid w:val="0"/>
          <w:color w:val="000000" w:themeColor="text1"/>
          <w:spacing w:val="6"/>
          <w:kern w:val="0"/>
          <w:sz w:val="24"/>
          <w:szCs w:val="24"/>
        </w:rPr>
        <w:t>t</w:t>
      </w:r>
      <w:r>
        <w:rPr>
          <w:rFonts w:eastAsia="仿宋" w:cs="Times New Roman"/>
          <w:bCs/>
          <w:snapToGrid w:val="0"/>
          <w:color w:val="000000" w:themeColor="text1"/>
          <w:spacing w:val="6"/>
          <w:kern w:val="0"/>
          <w:sz w:val="24"/>
          <w:szCs w:val="24"/>
        </w:rPr>
        <w:t>（吨）。</w:t>
      </w:r>
    </w:p>
    <w:p w:rsidR="00EE0247" w:rsidRDefault="007240D0" w:rsidP="00D241E6">
      <w:pPr>
        <w:widowControl/>
        <w:kinsoku w:val="0"/>
        <w:autoSpaceDE w:val="0"/>
        <w:autoSpaceDN w:val="0"/>
        <w:adjustRightInd w:val="0"/>
        <w:snapToGrid w:val="0"/>
        <w:spacing w:beforeLines="50" w:line="240" w:lineRule="auto"/>
        <w:ind w:firstLine="480"/>
        <w:textAlignment w:val="baseline"/>
        <w:rPr>
          <w:rFonts w:eastAsia="黑体" w:cs="Times New Roman"/>
          <w:color w:val="000000" w:themeColor="text1"/>
          <w:sz w:val="24"/>
          <w:szCs w:val="24"/>
        </w:rPr>
      </w:pPr>
      <w:r>
        <w:rPr>
          <w:rFonts w:eastAsia="黑体" w:cs="Times New Roman"/>
          <w:color w:val="000000" w:themeColor="text1"/>
          <w:sz w:val="24"/>
          <w:szCs w:val="24"/>
        </w:rPr>
        <w:t xml:space="preserve">6.1.2 </w:t>
      </w:r>
      <w:r>
        <w:rPr>
          <w:rFonts w:eastAsia="黑体" w:cs="Times New Roman"/>
          <w:color w:val="000000" w:themeColor="text1"/>
          <w:sz w:val="24"/>
          <w:szCs w:val="24"/>
        </w:rPr>
        <w:t>间接能源消耗的电力、热力</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报告年度内本行自身经营的间接能源消耗的电力情况如下：营业办公消耗的外部输入电力</w:t>
      </w:r>
      <w:r>
        <w:rPr>
          <w:rFonts w:eastAsia="仿宋" w:cs="Times New Roman"/>
          <w:snapToGrid w:val="0"/>
          <w:color w:val="000000" w:themeColor="text1"/>
          <w:spacing w:val="6"/>
          <w:kern w:val="0"/>
          <w:sz w:val="24"/>
          <w:szCs w:val="24"/>
          <w:u w:val="single"/>
        </w:rPr>
        <w:t xml:space="preserve"> </w:t>
      </w:r>
      <w:r>
        <w:rPr>
          <w:rFonts w:eastAsia="仿宋" w:cs="Times New Roman"/>
          <w:color w:val="000000"/>
          <w:spacing w:val="6"/>
          <w:sz w:val="24"/>
          <w:u w:val="single"/>
        </w:rPr>
        <w:t>6173.16</w:t>
      </w:r>
      <w:r>
        <w:rPr>
          <w:rFonts w:eastAsia="仿宋" w:cs="Times New Roman"/>
          <w:color w:val="000000" w:themeColor="text1"/>
          <w:spacing w:val="6"/>
          <w:sz w:val="24"/>
          <w:u w:val="single"/>
        </w:rPr>
        <w:t xml:space="preserve"> </w:t>
      </w:r>
      <w:proofErr w:type="spellStart"/>
      <w:r>
        <w:rPr>
          <w:rFonts w:eastAsia="仿宋" w:cs="Times New Roman"/>
          <w:color w:val="000000" w:themeColor="text1"/>
          <w:spacing w:val="6"/>
          <w:sz w:val="24"/>
        </w:rPr>
        <w:t>MWh</w:t>
      </w:r>
      <w:proofErr w:type="spellEnd"/>
      <w:r>
        <w:rPr>
          <w:rFonts w:eastAsia="仿宋" w:cs="Times New Roman"/>
          <w:snapToGrid w:val="0"/>
          <w:color w:val="000000" w:themeColor="text1"/>
          <w:spacing w:val="6"/>
          <w:kern w:val="0"/>
          <w:sz w:val="24"/>
          <w:szCs w:val="24"/>
        </w:rPr>
        <w:t>（兆瓦时）。</w:t>
      </w:r>
    </w:p>
    <w:p w:rsidR="00EE0247" w:rsidRDefault="007240D0">
      <w:pPr>
        <w:pStyle w:val="2"/>
        <w:rPr>
          <w:rFonts w:ascii="Times New Roman" w:hAnsi="Times New Roman" w:hint="default"/>
        </w:rPr>
      </w:pPr>
      <w:bookmarkStart w:id="25" w:name="_Toc206595325"/>
      <w:r>
        <w:rPr>
          <w:rFonts w:ascii="Times New Roman" w:hAnsi="Times New Roman" w:hint="default"/>
        </w:rPr>
        <w:t xml:space="preserve">6.2 </w:t>
      </w:r>
      <w:r>
        <w:rPr>
          <w:rFonts w:ascii="Times New Roman" w:hAnsi="Times New Roman" w:hint="default"/>
        </w:rPr>
        <w:t>自身经营的碳排放</w:t>
      </w:r>
      <w:bookmarkEnd w:id="25"/>
    </w:p>
    <w:p w:rsidR="00EE0247" w:rsidRDefault="007240D0" w:rsidP="00D241E6">
      <w:pPr>
        <w:widowControl/>
        <w:kinsoku w:val="0"/>
        <w:autoSpaceDE w:val="0"/>
        <w:autoSpaceDN w:val="0"/>
        <w:adjustRightInd w:val="0"/>
        <w:snapToGrid w:val="0"/>
        <w:spacing w:beforeLines="50" w:line="240" w:lineRule="auto"/>
        <w:ind w:firstLine="480"/>
        <w:textAlignment w:val="baseline"/>
        <w:rPr>
          <w:rFonts w:eastAsia="黑体" w:cs="Times New Roman"/>
          <w:color w:val="000000" w:themeColor="text1"/>
          <w:sz w:val="24"/>
          <w:szCs w:val="24"/>
        </w:rPr>
      </w:pPr>
      <w:r>
        <w:rPr>
          <w:rFonts w:eastAsia="黑体" w:cs="Times New Roman"/>
          <w:color w:val="000000" w:themeColor="text1"/>
          <w:sz w:val="24"/>
          <w:szCs w:val="24"/>
        </w:rPr>
        <w:t xml:space="preserve">6.2.1 </w:t>
      </w:r>
      <w:r>
        <w:rPr>
          <w:rFonts w:eastAsia="黑体" w:cs="Times New Roman"/>
          <w:color w:val="000000" w:themeColor="text1"/>
          <w:sz w:val="24"/>
          <w:szCs w:val="24"/>
        </w:rPr>
        <w:t>范围</w:t>
      </w:r>
      <w:proofErr w:type="gramStart"/>
      <w:r>
        <w:rPr>
          <w:rFonts w:eastAsia="黑体" w:cs="Times New Roman"/>
          <w:color w:val="000000" w:themeColor="text1"/>
          <w:sz w:val="24"/>
          <w:szCs w:val="24"/>
        </w:rPr>
        <w:t>一</w:t>
      </w:r>
      <w:proofErr w:type="gramEnd"/>
      <w:r>
        <w:rPr>
          <w:rFonts w:eastAsia="黑体" w:cs="Times New Roman"/>
          <w:color w:val="000000" w:themeColor="text1"/>
          <w:sz w:val="24"/>
          <w:szCs w:val="24"/>
        </w:rPr>
        <w:t>：经营活动的直接碳排放</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cs="Times New Roman"/>
          <w:color w:val="000000" w:themeColor="text1"/>
        </w:rPr>
      </w:pPr>
      <w:r>
        <w:rPr>
          <w:rFonts w:eastAsia="仿宋" w:cs="Times New Roman"/>
          <w:snapToGrid w:val="0"/>
          <w:color w:val="000000" w:themeColor="text1"/>
          <w:spacing w:val="6"/>
          <w:kern w:val="0"/>
          <w:sz w:val="24"/>
          <w:szCs w:val="24"/>
        </w:rPr>
        <w:t>报告年度内本行自身经营活动的直接碳排放总量为</w:t>
      </w:r>
      <w:r>
        <w:rPr>
          <w:rFonts w:eastAsia="仿宋" w:cs="Times New Roman"/>
          <w:snapToGrid w:val="0"/>
          <w:color w:val="000000" w:themeColor="text1"/>
          <w:spacing w:val="6"/>
          <w:kern w:val="0"/>
          <w:sz w:val="24"/>
          <w:szCs w:val="24"/>
          <w:u w:val="single"/>
        </w:rPr>
        <w:t xml:space="preserve"> </w:t>
      </w:r>
      <w:r>
        <w:rPr>
          <w:rFonts w:eastAsia="仿宋" w:cs="Times New Roman"/>
          <w:color w:val="000000"/>
          <w:spacing w:val="6"/>
          <w:sz w:val="24"/>
          <w:u w:val="single"/>
        </w:rPr>
        <w:t>18.62</w:t>
      </w:r>
      <w:r>
        <w:rPr>
          <w:rFonts w:eastAsia="仿宋" w:cs="Times New Roman"/>
          <w:color w:val="000000" w:themeColor="text1"/>
          <w:spacing w:val="6"/>
          <w:sz w:val="24"/>
          <w:u w:val="single"/>
        </w:rPr>
        <w:t xml:space="preserve"> </w:t>
      </w:r>
      <w:r>
        <w:rPr>
          <w:rFonts w:eastAsia="仿宋" w:cs="Times New Roman"/>
          <w:snapToGrid w:val="0"/>
          <w:color w:val="000000" w:themeColor="text1"/>
          <w:spacing w:val="6"/>
          <w:kern w:val="0"/>
          <w:sz w:val="24"/>
          <w:szCs w:val="24"/>
        </w:rPr>
        <w:t>tCO</w:t>
      </w:r>
      <w:r>
        <w:rPr>
          <w:rFonts w:eastAsia="仿宋" w:cs="Times New Roman"/>
          <w:snapToGrid w:val="0"/>
          <w:color w:val="000000" w:themeColor="text1"/>
          <w:spacing w:val="6"/>
          <w:kern w:val="0"/>
          <w:sz w:val="24"/>
          <w:szCs w:val="24"/>
          <w:vertAlign w:val="subscript"/>
        </w:rPr>
        <w:t>2</w:t>
      </w:r>
      <w:r>
        <w:rPr>
          <w:rFonts w:eastAsia="仿宋" w:cs="Times New Roman"/>
          <w:snapToGrid w:val="0"/>
          <w:color w:val="000000" w:themeColor="text1"/>
          <w:spacing w:val="6"/>
          <w:kern w:val="0"/>
          <w:sz w:val="24"/>
          <w:szCs w:val="24"/>
        </w:rPr>
        <w:t>e</w:t>
      </w:r>
      <w:r>
        <w:rPr>
          <w:rFonts w:eastAsia="仿宋" w:cs="Times New Roman"/>
          <w:snapToGrid w:val="0"/>
          <w:color w:val="000000" w:themeColor="text1"/>
          <w:spacing w:val="6"/>
          <w:kern w:val="0"/>
          <w:sz w:val="24"/>
          <w:szCs w:val="24"/>
        </w:rPr>
        <w:t>（</w:t>
      </w:r>
      <w:proofErr w:type="gramStart"/>
      <w:r>
        <w:rPr>
          <w:rFonts w:eastAsia="仿宋" w:cs="Times New Roman"/>
          <w:snapToGrid w:val="0"/>
          <w:color w:val="000000" w:themeColor="text1"/>
          <w:spacing w:val="6"/>
          <w:kern w:val="0"/>
          <w:sz w:val="24"/>
          <w:szCs w:val="24"/>
        </w:rPr>
        <w:t>吨二氧</w:t>
      </w:r>
      <w:proofErr w:type="gramEnd"/>
      <w:r>
        <w:rPr>
          <w:rFonts w:eastAsia="仿宋" w:cs="Times New Roman"/>
          <w:snapToGrid w:val="0"/>
          <w:color w:val="000000" w:themeColor="text1"/>
          <w:spacing w:val="6"/>
          <w:kern w:val="0"/>
          <w:sz w:val="24"/>
          <w:szCs w:val="24"/>
        </w:rPr>
        <w:t>化碳当量，下同）。</w:t>
      </w:r>
    </w:p>
    <w:p w:rsidR="00EE0247" w:rsidRDefault="007240D0" w:rsidP="00D241E6">
      <w:pPr>
        <w:widowControl/>
        <w:kinsoku w:val="0"/>
        <w:autoSpaceDE w:val="0"/>
        <w:autoSpaceDN w:val="0"/>
        <w:adjustRightInd w:val="0"/>
        <w:snapToGrid w:val="0"/>
        <w:spacing w:beforeLines="50" w:line="240" w:lineRule="auto"/>
        <w:ind w:firstLine="480"/>
        <w:textAlignment w:val="baseline"/>
        <w:rPr>
          <w:rFonts w:eastAsia="黑体" w:cs="Times New Roman"/>
          <w:color w:val="000000" w:themeColor="text1"/>
          <w:sz w:val="24"/>
          <w:szCs w:val="24"/>
        </w:rPr>
      </w:pPr>
      <w:r>
        <w:rPr>
          <w:rFonts w:eastAsia="黑体" w:cs="Times New Roman"/>
          <w:color w:val="000000" w:themeColor="text1"/>
          <w:sz w:val="24"/>
          <w:szCs w:val="24"/>
        </w:rPr>
        <w:t xml:space="preserve">6.2.2 </w:t>
      </w:r>
      <w:r>
        <w:rPr>
          <w:rFonts w:eastAsia="黑体" w:cs="Times New Roman"/>
          <w:color w:val="000000" w:themeColor="text1"/>
          <w:sz w:val="24"/>
          <w:szCs w:val="24"/>
        </w:rPr>
        <w:t>范围二：经营活动的间接碳排放</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cs="Times New Roman"/>
          <w:color w:val="000000" w:themeColor="text1"/>
        </w:rPr>
      </w:pPr>
      <w:r>
        <w:rPr>
          <w:rFonts w:eastAsia="仿宋" w:cs="Times New Roman"/>
          <w:snapToGrid w:val="0"/>
          <w:color w:val="000000" w:themeColor="text1"/>
          <w:spacing w:val="6"/>
          <w:kern w:val="0"/>
          <w:sz w:val="24"/>
          <w:szCs w:val="24"/>
        </w:rPr>
        <w:t>报告年度内本行自身经营活动的间接碳排放总量为</w:t>
      </w:r>
      <w:r>
        <w:rPr>
          <w:rFonts w:eastAsia="仿宋" w:cs="Times New Roman"/>
          <w:snapToGrid w:val="0"/>
          <w:color w:val="000000" w:themeColor="text1"/>
          <w:spacing w:val="6"/>
          <w:kern w:val="0"/>
          <w:sz w:val="24"/>
          <w:szCs w:val="24"/>
          <w:u w:val="single"/>
        </w:rPr>
        <w:t xml:space="preserve"> </w:t>
      </w:r>
      <w:r>
        <w:rPr>
          <w:rFonts w:eastAsia="仿宋" w:cs="Times New Roman"/>
          <w:color w:val="000000"/>
          <w:spacing w:val="6"/>
          <w:sz w:val="24"/>
          <w:u w:val="single"/>
        </w:rPr>
        <w:t>3467.46</w:t>
      </w:r>
      <w:r>
        <w:rPr>
          <w:rFonts w:eastAsia="仿宋" w:cs="Times New Roman"/>
          <w:color w:val="000000" w:themeColor="text1"/>
          <w:spacing w:val="6"/>
          <w:sz w:val="24"/>
          <w:u w:val="single"/>
        </w:rPr>
        <w:t xml:space="preserve"> </w:t>
      </w:r>
      <w:r>
        <w:rPr>
          <w:rFonts w:eastAsia="仿宋" w:cs="Times New Roman"/>
          <w:snapToGrid w:val="0"/>
          <w:color w:val="000000" w:themeColor="text1"/>
          <w:spacing w:val="6"/>
          <w:kern w:val="0"/>
          <w:sz w:val="24"/>
          <w:szCs w:val="24"/>
        </w:rPr>
        <w:t>tCO</w:t>
      </w:r>
      <w:r>
        <w:rPr>
          <w:rFonts w:eastAsia="仿宋" w:cs="Times New Roman"/>
          <w:snapToGrid w:val="0"/>
          <w:color w:val="000000" w:themeColor="text1"/>
          <w:spacing w:val="6"/>
          <w:kern w:val="0"/>
          <w:sz w:val="24"/>
          <w:szCs w:val="24"/>
          <w:vertAlign w:val="subscript"/>
        </w:rPr>
        <w:t>2</w:t>
      </w:r>
      <w:r>
        <w:rPr>
          <w:rFonts w:eastAsia="仿宋" w:cs="Times New Roman"/>
          <w:snapToGrid w:val="0"/>
          <w:color w:val="000000" w:themeColor="text1"/>
          <w:spacing w:val="6"/>
          <w:kern w:val="0"/>
          <w:sz w:val="24"/>
          <w:szCs w:val="24"/>
        </w:rPr>
        <w:t>e</w:t>
      </w:r>
      <w:r>
        <w:rPr>
          <w:rFonts w:eastAsia="仿宋" w:cs="Times New Roman"/>
          <w:snapToGrid w:val="0"/>
          <w:color w:val="000000" w:themeColor="text1"/>
          <w:spacing w:val="6"/>
          <w:kern w:val="0"/>
          <w:sz w:val="24"/>
          <w:szCs w:val="24"/>
        </w:rPr>
        <w:t>，排放源主要来自于本行营业办公消耗的外部输入的电力。</w:t>
      </w:r>
    </w:p>
    <w:p w:rsidR="00EE0247" w:rsidRDefault="007240D0" w:rsidP="00D241E6">
      <w:pPr>
        <w:widowControl/>
        <w:kinsoku w:val="0"/>
        <w:autoSpaceDE w:val="0"/>
        <w:autoSpaceDN w:val="0"/>
        <w:adjustRightInd w:val="0"/>
        <w:snapToGrid w:val="0"/>
        <w:spacing w:beforeLines="50" w:line="240" w:lineRule="auto"/>
        <w:ind w:firstLine="480"/>
        <w:textAlignment w:val="baseline"/>
        <w:rPr>
          <w:rFonts w:eastAsia="黑体" w:cs="Times New Roman"/>
          <w:color w:val="000000" w:themeColor="text1"/>
          <w:sz w:val="24"/>
          <w:szCs w:val="24"/>
        </w:rPr>
      </w:pPr>
      <w:r>
        <w:rPr>
          <w:rFonts w:eastAsia="黑体" w:cs="Times New Roman"/>
          <w:color w:val="000000" w:themeColor="text1"/>
          <w:sz w:val="24"/>
          <w:szCs w:val="24"/>
        </w:rPr>
        <w:t xml:space="preserve">6.2.3 </w:t>
      </w:r>
      <w:r>
        <w:rPr>
          <w:rFonts w:eastAsia="黑体" w:cs="Times New Roman"/>
          <w:color w:val="000000" w:themeColor="text1"/>
          <w:sz w:val="24"/>
          <w:szCs w:val="24"/>
        </w:rPr>
        <w:t>范围三：经营活动的</w:t>
      </w:r>
      <w:proofErr w:type="gramStart"/>
      <w:r>
        <w:rPr>
          <w:rFonts w:eastAsia="黑体" w:cs="Times New Roman"/>
          <w:color w:val="000000" w:themeColor="text1"/>
          <w:sz w:val="24"/>
          <w:szCs w:val="24"/>
        </w:rPr>
        <w:t>价值链碳排放</w:t>
      </w:r>
      <w:proofErr w:type="gramEnd"/>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本行自身经营的</w:t>
      </w:r>
      <w:proofErr w:type="gramStart"/>
      <w:r>
        <w:rPr>
          <w:rFonts w:eastAsia="仿宋" w:cs="Times New Roman"/>
          <w:bCs/>
          <w:snapToGrid w:val="0"/>
          <w:color w:val="000000" w:themeColor="text1"/>
          <w:spacing w:val="6"/>
          <w:kern w:val="0"/>
          <w:sz w:val="24"/>
          <w:szCs w:val="24"/>
        </w:rPr>
        <w:t>价值链碳排放</w:t>
      </w:r>
      <w:proofErr w:type="gramEnd"/>
      <w:r>
        <w:rPr>
          <w:rFonts w:eastAsia="仿宋" w:cs="Times New Roman"/>
          <w:bCs/>
          <w:snapToGrid w:val="0"/>
          <w:color w:val="000000" w:themeColor="text1"/>
          <w:spacing w:val="6"/>
          <w:kern w:val="0"/>
          <w:sz w:val="24"/>
          <w:szCs w:val="24"/>
        </w:rPr>
        <w:t>（范围三（不含投资））为</w:t>
      </w:r>
      <w:r>
        <w:rPr>
          <w:rFonts w:eastAsia="仿宋" w:cs="Times New Roman"/>
          <w:bCs/>
          <w:snapToGrid w:val="0"/>
          <w:color w:val="000000" w:themeColor="text1"/>
          <w:spacing w:val="6"/>
          <w:kern w:val="0"/>
          <w:sz w:val="24"/>
          <w:szCs w:val="24"/>
          <w:u w:val="single"/>
        </w:rPr>
        <w:t xml:space="preserve"> </w:t>
      </w:r>
      <w:r>
        <w:rPr>
          <w:rFonts w:eastAsia="仿宋" w:cs="Times New Roman"/>
          <w:color w:val="000000"/>
          <w:spacing w:val="6"/>
          <w:sz w:val="24"/>
          <w:u w:val="single"/>
        </w:rPr>
        <w:t xml:space="preserve">661.26 </w:t>
      </w:r>
      <w:r>
        <w:rPr>
          <w:rFonts w:eastAsia="仿宋" w:cs="Times New Roman"/>
          <w:bCs/>
          <w:snapToGrid w:val="0"/>
          <w:color w:val="000000" w:themeColor="text1"/>
          <w:spacing w:val="6"/>
          <w:kern w:val="0"/>
          <w:sz w:val="24"/>
          <w:szCs w:val="24"/>
        </w:rPr>
        <w:t>tCO</w:t>
      </w:r>
      <w:r>
        <w:rPr>
          <w:rFonts w:eastAsia="仿宋" w:cs="Times New Roman"/>
          <w:bCs/>
          <w:snapToGrid w:val="0"/>
          <w:color w:val="000000" w:themeColor="text1"/>
          <w:spacing w:val="6"/>
          <w:kern w:val="0"/>
          <w:sz w:val="24"/>
          <w:szCs w:val="24"/>
          <w:vertAlign w:val="subscript"/>
        </w:rPr>
        <w:t>2</w:t>
      </w:r>
      <w:r>
        <w:rPr>
          <w:rFonts w:eastAsia="仿宋" w:cs="Times New Roman"/>
          <w:bCs/>
          <w:snapToGrid w:val="0"/>
          <w:color w:val="000000" w:themeColor="text1"/>
          <w:spacing w:val="6"/>
          <w:kern w:val="0"/>
          <w:sz w:val="24"/>
          <w:szCs w:val="24"/>
        </w:rPr>
        <w:t>e</w:t>
      </w:r>
      <w:r>
        <w:rPr>
          <w:rFonts w:eastAsia="仿宋" w:cs="Times New Roman"/>
          <w:bCs/>
          <w:snapToGrid w:val="0"/>
          <w:color w:val="000000" w:themeColor="text1"/>
          <w:spacing w:val="6"/>
          <w:kern w:val="0"/>
          <w:sz w:val="24"/>
          <w:szCs w:val="24"/>
        </w:rPr>
        <w:t>。其中，购买商品与服务产生的碳排放</w:t>
      </w:r>
      <w:r>
        <w:rPr>
          <w:rFonts w:eastAsia="仿宋" w:cs="Times New Roman"/>
          <w:bCs/>
          <w:snapToGrid w:val="0"/>
          <w:color w:val="000000" w:themeColor="text1"/>
          <w:spacing w:val="6"/>
          <w:kern w:val="0"/>
          <w:sz w:val="24"/>
          <w:szCs w:val="24"/>
          <w:u w:val="single"/>
        </w:rPr>
        <w:t xml:space="preserve"> </w:t>
      </w:r>
      <w:r>
        <w:rPr>
          <w:rFonts w:eastAsia="仿宋" w:cs="Times New Roman"/>
          <w:color w:val="000000"/>
          <w:spacing w:val="6"/>
          <w:sz w:val="24"/>
          <w:u w:val="single"/>
        </w:rPr>
        <w:t xml:space="preserve">240.50 </w:t>
      </w:r>
      <w:r>
        <w:rPr>
          <w:rFonts w:eastAsia="仿宋" w:cs="Times New Roman"/>
          <w:bCs/>
          <w:snapToGrid w:val="0"/>
          <w:color w:val="000000" w:themeColor="text1"/>
          <w:spacing w:val="6"/>
          <w:kern w:val="0"/>
          <w:sz w:val="24"/>
          <w:szCs w:val="24"/>
        </w:rPr>
        <w:t>tCO</w:t>
      </w:r>
      <w:r>
        <w:rPr>
          <w:rFonts w:eastAsia="仿宋" w:cs="Times New Roman"/>
          <w:bCs/>
          <w:snapToGrid w:val="0"/>
          <w:color w:val="000000" w:themeColor="text1"/>
          <w:spacing w:val="6"/>
          <w:kern w:val="0"/>
          <w:sz w:val="24"/>
          <w:szCs w:val="24"/>
          <w:vertAlign w:val="subscript"/>
        </w:rPr>
        <w:t>2</w:t>
      </w:r>
      <w:r>
        <w:rPr>
          <w:rFonts w:eastAsia="仿宋" w:cs="Times New Roman"/>
          <w:bCs/>
          <w:snapToGrid w:val="0"/>
          <w:color w:val="000000" w:themeColor="text1"/>
          <w:spacing w:val="6"/>
          <w:kern w:val="0"/>
          <w:sz w:val="24"/>
          <w:szCs w:val="24"/>
        </w:rPr>
        <w:t>e</w:t>
      </w:r>
      <w:r>
        <w:rPr>
          <w:rFonts w:eastAsia="仿宋" w:cs="Times New Roman"/>
          <w:bCs/>
          <w:snapToGrid w:val="0"/>
          <w:color w:val="000000" w:themeColor="text1"/>
          <w:spacing w:val="6"/>
          <w:kern w:val="0"/>
          <w:sz w:val="24"/>
          <w:szCs w:val="24"/>
        </w:rPr>
        <w:t>，上游运输和配送产生的碳排放</w:t>
      </w:r>
      <w:r>
        <w:rPr>
          <w:rFonts w:eastAsia="仿宋" w:cs="Times New Roman"/>
          <w:bCs/>
          <w:snapToGrid w:val="0"/>
          <w:color w:val="000000" w:themeColor="text1"/>
          <w:spacing w:val="6"/>
          <w:kern w:val="0"/>
          <w:sz w:val="24"/>
          <w:szCs w:val="24"/>
          <w:u w:val="single"/>
        </w:rPr>
        <w:t xml:space="preserve"> </w:t>
      </w:r>
      <w:r>
        <w:rPr>
          <w:rFonts w:eastAsia="仿宋" w:cs="Times New Roman"/>
          <w:color w:val="000000"/>
          <w:spacing w:val="6"/>
          <w:sz w:val="24"/>
          <w:u w:val="single"/>
        </w:rPr>
        <w:t xml:space="preserve">13.15 </w:t>
      </w:r>
      <w:r>
        <w:rPr>
          <w:rFonts w:eastAsia="仿宋" w:cs="Times New Roman"/>
          <w:bCs/>
          <w:snapToGrid w:val="0"/>
          <w:color w:val="000000" w:themeColor="text1"/>
          <w:spacing w:val="6"/>
          <w:kern w:val="0"/>
          <w:sz w:val="24"/>
          <w:szCs w:val="24"/>
        </w:rPr>
        <w:t>tCO</w:t>
      </w:r>
      <w:r>
        <w:rPr>
          <w:rFonts w:eastAsia="仿宋" w:cs="Times New Roman"/>
          <w:bCs/>
          <w:snapToGrid w:val="0"/>
          <w:color w:val="000000" w:themeColor="text1"/>
          <w:spacing w:val="6"/>
          <w:kern w:val="0"/>
          <w:sz w:val="24"/>
          <w:szCs w:val="24"/>
          <w:vertAlign w:val="subscript"/>
        </w:rPr>
        <w:t>2</w:t>
      </w:r>
      <w:r>
        <w:rPr>
          <w:rFonts w:eastAsia="仿宋" w:cs="Times New Roman"/>
          <w:bCs/>
          <w:snapToGrid w:val="0"/>
          <w:color w:val="000000" w:themeColor="text1"/>
          <w:spacing w:val="6"/>
          <w:kern w:val="0"/>
          <w:sz w:val="24"/>
          <w:szCs w:val="24"/>
        </w:rPr>
        <w:t>e</w:t>
      </w:r>
      <w:r>
        <w:rPr>
          <w:rFonts w:eastAsia="仿宋" w:cs="Times New Roman"/>
          <w:bCs/>
          <w:snapToGrid w:val="0"/>
          <w:color w:val="000000" w:themeColor="text1"/>
          <w:spacing w:val="6"/>
          <w:kern w:val="0"/>
          <w:sz w:val="24"/>
          <w:szCs w:val="24"/>
        </w:rPr>
        <w:t>，运营中产生的废弃物产生的碳排放</w:t>
      </w:r>
      <w:r>
        <w:rPr>
          <w:rFonts w:eastAsia="仿宋" w:cs="Times New Roman"/>
          <w:bCs/>
          <w:snapToGrid w:val="0"/>
          <w:color w:val="000000" w:themeColor="text1"/>
          <w:spacing w:val="6"/>
          <w:kern w:val="0"/>
          <w:sz w:val="24"/>
          <w:szCs w:val="24"/>
          <w:u w:val="single"/>
        </w:rPr>
        <w:t xml:space="preserve"> 282.99</w:t>
      </w:r>
      <w:r>
        <w:rPr>
          <w:rFonts w:eastAsia="仿宋" w:cs="Times New Roman"/>
          <w:bCs/>
          <w:color w:val="000000" w:themeColor="text1"/>
          <w:spacing w:val="6"/>
          <w:sz w:val="24"/>
          <w:u w:val="single"/>
        </w:rPr>
        <w:t xml:space="preserve"> </w:t>
      </w:r>
      <w:r>
        <w:rPr>
          <w:rFonts w:eastAsia="仿宋" w:cs="Times New Roman"/>
          <w:bCs/>
          <w:snapToGrid w:val="0"/>
          <w:color w:val="000000" w:themeColor="text1"/>
          <w:spacing w:val="6"/>
          <w:kern w:val="0"/>
          <w:sz w:val="24"/>
          <w:szCs w:val="24"/>
        </w:rPr>
        <w:t>tCO</w:t>
      </w:r>
      <w:r>
        <w:rPr>
          <w:rFonts w:eastAsia="仿宋" w:cs="Times New Roman"/>
          <w:bCs/>
          <w:snapToGrid w:val="0"/>
          <w:color w:val="000000" w:themeColor="text1"/>
          <w:spacing w:val="6"/>
          <w:kern w:val="0"/>
          <w:sz w:val="24"/>
          <w:szCs w:val="24"/>
          <w:vertAlign w:val="subscript"/>
        </w:rPr>
        <w:t>2</w:t>
      </w:r>
      <w:r>
        <w:rPr>
          <w:rFonts w:eastAsia="仿宋" w:cs="Times New Roman"/>
          <w:bCs/>
          <w:snapToGrid w:val="0"/>
          <w:color w:val="000000" w:themeColor="text1"/>
          <w:spacing w:val="6"/>
          <w:kern w:val="0"/>
          <w:sz w:val="24"/>
          <w:szCs w:val="24"/>
        </w:rPr>
        <w:t>e</w:t>
      </w:r>
      <w:r>
        <w:rPr>
          <w:rFonts w:eastAsia="仿宋" w:cs="Times New Roman"/>
          <w:bCs/>
          <w:snapToGrid w:val="0"/>
          <w:color w:val="000000" w:themeColor="text1"/>
          <w:spacing w:val="6"/>
          <w:kern w:val="0"/>
          <w:sz w:val="24"/>
          <w:szCs w:val="24"/>
        </w:rPr>
        <w:t>，差旅产生的碳排放</w:t>
      </w:r>
      <w:r>
        <w:rPr>
          <w:rFonts w:eastAsia="仿宋" w:cs="Times New Roman"/>
          <w:bCs/>
          <w:snapToGrid w:val="0"/>
          <w:color w:val="000000" w:themeColor="text1"/>
          <w:spacing w:val="6"/>
          <w:kern w:val="0"/>
          <w:sz w:val="24"/>
          <w:szCs w:val="24"/>
          <w:u w:val="single"/>
        </w:rPr>
        <w:t xml:space="preserve"> 33.97</w:t>
      </w:r>
      <w:r>
        <w:rPr>
          <w:rFonts w:eastAsia="仿宋" w:cs="Times New Roman"/>
          <w:bCs/>
          <w:color w:val="000000" w:themeColor="text1"/>
          <w:spacing w:val="6"/>
          <w:sz w:val="24"/>
          <w:u w:val="single"/>
        </w:rPr>
        <w:t xml:space="preserve"> </w:t>
      </w:r>
      <w:r>
        <w:rPr>
          <w:rFonts w:eastAsia="仿宋" w:cs="Times New Roman"/>
          <w:bCs/>
          <w:snapToGrid w:val="0"/>
          <w:color w:val="000000" w:themeColor="text1"/>
          <w:spacing w:val="6"/>
          <w:kern w:val="0"/>
          <w:sz w:val="24"/>
          <w:szCs w:val="24"/>
        </w:rPr>
        <w:t>tCO</w:t>
      </w:r>
      <w:r>
        <w:rPr>
          <w:rFonts w:eastAsia="仿宋" w:cs="Times New Roman"/>
          <w:bCs/>
          <w:snapToGrid w:val="0"/>
          <w:color w:val="000000" w:themeColor="text1"/>
          <w:spacing w:val="6"/>
          <w:kern w:val="0"/>
          <w:sz w:val="24"/>
          <w:szCs w:val="24"/>
          <w:vertAlign w:val="subscript"/>
        </w:rPr>
        <w:t>2</w:t>
      </w:r>
      <w:r>
        <w:rPr>
          <w:rFonts w:eastAsia="仿宋" w:cs="Times New Roman"/>
          <w:bCs/>
          <w:snapToGrid w:val="0"/>
          <w:color w:val="000000" w:themeColor="text1"/>
          <w:spacing w:val="6"/>
          <w:kern w:val="0"/>
          <w:sz w:val="24"/>
          <w:szCs w:val="24"/>
        </w:rPr>
        <w:t>e</w:t>
      </w:r>
      <w:r>
        <w:rPr>
          <w:rFonts w:eastAsia="仿宋" w:cs="Times New Roman"/>
          <w:bCs/>
          <w:snapToGrid w:val="0"/>
          <w:color w:val="000000" w:themeColor="text1"/>
          <w:spacing w:val="6"/>
          <w:kern w:val="0"/>
          <w:sz w:val="24"/>
          <w:szCs w:val="24"/>
        </w:rPr>
        <w:t>，员工通勤产生的碳排放</w:t>
      </w:r>
      <w:r>
        <w:rPr>
          <w:rFonts w:eastAsia="仿宋" w:cs="Times New Roman"/>
          <w:bCs/>
          <w:snapToGrid w:val="0"/>
          <w:color w:val="000000" w:themeColor="text1"/>
          <w:spacing w:val="6"/>
          <w:kern w:val="0"/>
          <w:sz w:val="24"/>
          <w:szCs w:val="24"/>
          <w:u w:val="single"/>
        </w:rPr>
        <w:t xml:space="preserve"> 90.65</w:t>
      </w:r>
      <w:r>
        <w:rPr>
          <w:rFonts w:eastAsia="仿宋" w:cs="Times New Roman"/>
          <w:bCs/>
          <w:color w:val="000000" w:themeColor="text1"/>
          <w:spacing w:val="6"/>
          <w:sz w:val="24"/>
          <w:u w:val="single"/>
        </w:rPr>
        <w:t xml:space="preserve"> </w:t>
      </w:r>
      <w:r>
        <w:rPr>
          <w:rFonts w:eastAsia="仿宋" w:cs="Times New Roman"/>
          <w:bCs/>
          <w:snapToGrid w:val="0"/>
          <w:color w:val="000000" w:themeColor="text1"/>
          <w:spacing w:val="6"/>
          <w:kern w:val="0"/>
          <w:sz w:val="24"/>
          <w:szCs w:val="24"/>
        </w:rPr>
        <w:t>tCO</w:t>
      </w:r>
      <w:r>
        <w:rPr>
          <w:rFonts w:eastAsia="仿宋" w:cs="Times New Roman"/>
          <w:bCs/>
          <w:snapToGrid w:val="0"/>
          <w:color w:val="000000" w:themeColor="text1"/>
          <w:spacing w:val="6"/>
          <w:kern w:val="0"/>
          <w:sz w:val="24"/>
          <w:szCs w:val="24"/>
          <w:vertAlign w:val="subscript"/>
        </w:rPr>
        <w:t>2</w:t>
      </w:r>
      <w:r>
        <w:rPr>
          <w:rFonts w:eastAsia="仿宋" w:cs="Times New Roman"/>
          <w:bCs/>
          <w:snapToGrid w:val="0"/>
          <w:color w:val="000000" w:themeColor="text1"/>
          <w:spacing w:val="6"/>
          <w:kern w:val="0"/>
          <w:sz w:val="24"/>
          <w:szCs w:val="24"/>
        </w:rPr>
        <w:t>e</w:t>
      </w:r>
      <w:r>
        <w:rPr>
          <w:rFonts w:eastAsia="仿宋" w:cs="Times New Roman"/>
          <w:bCs/>
          <w:snapToGrid w:val="0"/>
          <w:color w:val="000000" w:themeColor="text1"/>
          <w:spacing w:val="6"/>
          <w:kern w:val="0"/>
          <w:sz w:val="24"/>
          <w:szCs w:val="24"/>
        </w:rPr>
        <w:t>。</w:t>
      </w:r>
    </w:p>
    <w:p w:rsidR="00EE0247" w:rsidRDefault="007240D0" w:rsidP="00D241E6">
      <w:pPr>
        <w:widowControl/>
        <w:kinsoku w:val="0"/>
        <w:autoSpaceDE w:val="0"/>
        <w:autoSpaceDN w:val="0"/>
        <w:adjustRightInd w:val="0"/>
        <w:snapToGrid w:val="0"/>
        <w:spacing w:beforeLines="50" w:line="240" w:lineRule="auto"/>
        <w:ind w:firstLine="480"/>
        <w:textAlignment w:val="baseline"/>
        <w:rPr>
          <w:rFonts w:eastAsia="黑体" w:cs="Times New Roman"/>
          <w:color w:val="000000" w:themeColor="text1"/>
          <w:sz w:val="24"/>
          <w:szCs w:val="24"/>
        </w:rPr>
      </w:pPr>
      <w:r>
        <w:rPr>
          <w:rFonts w:eastAsia="黑体" w:cs="Times New Roman"/>
          <w:color w:val="000000" w:themeColor="text1"/>
          <w:sz w:val="24"/>
          <w:szCs w:val="24"/>
        </w:rPr>
        <w:t xml:space="preserve">6.2.4 </w:t>
      </w:r>
      <w:r>
        <w:rPr>
          <w:rFonts w:eastAsia="黑体" w:cs="Times New Roman"/>
          <w:color w:val="000000" w:themeColor="text1"/>
          <w:sz w:val="24"/>
          <w:szCs w:val="24"/>
        </w:rPr>
        <w:t>经营活动碳排放强度</w:t>
      </w:r>
    </w:p>
    <w:p w:rsidR="00EE0247" w:rsidRDefault="007240D0">
      <w:pPr>
        <w:spacing w:line="240" w:lineRule="auto"/>
        <w:ind w:firstLine="504"/>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本行自身经营碳排放总量（不含范围三）为</w:t>
      </w:r>
      <w:r>
        <w:rPr>
          <w:rFonts w:eastAsia="仿宋" w:cs="Times New Roman"/>
          <w:bCs/>
          <w:snapToGrid w:val="0"/>
          <w:color w:val="000000" w:themeColor="text1"/>
          <w:spacing w:val="6"/>
          <w:kern w:val="0"/>
          <w:sz w:val="24"/>
          <w:szCs w:val="24"/>
          <w:u w:val="single"/>
        </w:rPr>
        <w:t xml:space="preserve"> </w:t>
      </w:r>
      <w:r>
        <w:rPr>
          <w:rFonts w:eastAsia="仿宋" w:cs="Times New Roman"/>
          <w:bCs/>
          <w:color w:val="000000" w:themeColor="text1"/>
          <w:spacing w:val="6"/>
          <w:sz w:val="24"/>
          <w:u w:val="single"/>
        </w:rPr>
        <w:t xml:space="preserve">3486.08 </w:t>
      </w:r>
      <w:r>
        <w:rPr>
          <w:rFonts w:eastAsia="仿宋" w:cs="Times New Roman"/>
          <w:bCs/>
          <w:snapToGrid w:val="0"/>
          <w:color w:val="000000" w:themeColor="text1"/>
          <w:spacing w:val="6"/>
          <w:kern w:val="0"/>
          <w:sz w:val="24"/>
          <w:szCs w:val="24"/>
        </w:rPr>
        <w:t>tCO</w:t>
      </w:r>
      <w:r>
        <w:rPr>
          <w:rFonts w:eastAsia="仿宋" w:cs="Times New Roman"/>
          <w:bCs/>
          <w:snapToGrid w:val="0"/>
          <w:color w:val="000000" w:themeColor="text1"/>
          <w:spacing w:val="6"/>
          <w:kern w:val="0"/>
          <w:sz w:val="24"/>
          <w:szCs w:val="24"/>
          <w:vertAlign w:val="subscript"/>
        </w:rPr>
        <w:t>2</w:t>
      </w:r>
      <w:r>
        <w:rPr>
          <w:rFonts w:eastAsia="仿宋" w:cs="Times New Roman"/>
          <w:bCs/>
          <w:snapToGrid w:val="0"/>
          <w:color w:val="000000" w:themeColor="text1"/>
          <w:spacing w:val="6"/>
          <w:kern w:val="0"/>
          <w:sz w:val="24"/>
          <w:szCs w:val="24"/>
        </w:rPr>
        <w:t>e</w:t>
      </w:r>
      <w:r>
        <w:rPr>
          <w:rFonts w:eastAsia="仿宋" w:cs="Times New Roman"/>
          <w:bCs/>
          <w:snapToGrid w:val="0"/>
          <w:color w:val="000000" w:themeColor="text1"/>
          <w:spacing w:val="6"/>
          <w:kern w:val="0"/>
          <w:sz w:val="24"/>
          <w:szCs w:val="24"/>
        </w:rPr>
        <w:t>，人均碳排放为</w:t>
      </w:r>
      <w:r>
        <w:rPr>
          <w:rFonts w:eastAsia="仿宋" w:cs="Times New Roman"/>
          <w:bCs/>
          <w:snapToGrid w:val="0"/>
          <w:color w:val="000000" w:themeColor="text1"/>
          <w:spacing w:val="6"/>
          <w:kern w:val="0"/>
          <w:sz w:val="24"/>
          <w:szCs w:val="24"/>
          <w:u w:val="single"/>
        </w:rPr>
        <w:t xml:space="preserve"> </w:t>
      </w:r>
      <w:r>
        <w:rPr>
          <w:rFonts w:eastAsia="仿宋" w:cs="Times New Roman"/>
          <w:bCs/>
          <w:color w:val="000000" w:themeColor="text1"/>
          <w:spacing w:val="6"/>
          <w:sz w:val="24"/>
          <w:u w:val="single"/>
        </w:rPr>
        <w:t xml:space="preserve">6.8354 </w:t>
      </w:r>
      <w:r>
        <w:rPr>
          <w:rFonts w:eastAsia="仿宋" w:cs="Times New Roman"/>
          <w:bCs/>
          <w:snapToGrid w:val="0"/>
          <w:color w:val="000000" w:themeColor="text1"/>
          <w:spacing w:val="6"/>
          <w:kern w:val="0"/>
          <w:sz w:val="24"/>
          <w:szCs w:val="24"/>
        </w:rPr>
        <w:t>tCO</w:t>
      </w:r>
      <w:r>
        <w:rPr>
          <w:rFonts w:eastAsia="仿宋" w:cs="Times New Roman"/>
          <w:bCs/>
          <w:snapToGrid w:val="0"/>
          <w:color w:val="000000" w:themeColor="text1"/>
          <w:spacing w:val="6"/>
          <w:kern w:val="0"/>
          <w:sz w:val="24"/>
          <w:szCs w:val="24"/>
          <w:vertAlign w:val="subscript"/>
        </w:rPr>
        <w:t>2</w:t>
      </w:r>
      <w:r>
        <w:rPr>
          <w:rFonts w:eastAsia="仿宋" w:cs="Times New Roman"/>
          <w:bCs/>
          <w:snapToGrid w:val="0"/>
          <w:color w:val="000000" w:themeColor="text1"/>
          <w:spacing w:val="6"/>
          <w:kern w:val="0"/>
          <w:sz w:val="24"/>
          <w:szCs w:val="24"/>
        </w:rPr>
        <w:t>e/</w:t>
      </w:r>
      <w:r>
        <w:rPr>
          <w:rFonts w:eastAsia="仿宋" w:cs="Times New Roman"/>
          <w:bCs/>
          <w:snapToGrid w:val="0"/>
          <w:color w:val="000000" w:themeColor="text1"/>
          <w:spacing w:val="6"/>
          <w:kern w:val="0"/>
          <w:sz w:val="24"/>
          <w:szCs w:val="24"/>
        </w:rPr>
        <w:t>人，单位面积碳排放为</w:t>
      </w:r>
      <w:r>
        <w:rPr>
          <w:rFonts w:eastAsia="仿宋" w:cs="Times New Roman"/>
          <w:bCs/>
          <w:snapToGrid w:val="0"/>
          <w:color w:val="000000" w:themeColor="text1"/>
          <w:spacing w:val="6"/>
          <w:kern w:val="0"/>
          <w:sz w:val="24"/>
          <w:szCs w:val="24"/>
          <w:u w:val="single"/>
        </w:rPr>
        <w:t xml:space="preserve"> 0.0722</w:t>
      </w:r>
      <w:r>
        <w:rPr>
          <w:rFonts w:eastAsia="仿宋" w:cs="Times New Roman"/>
          <w:bCs/>
          <w:color w:val="000000" w:themeColor="text1"/>
          <w:spacing w:val="6"/>
          <w:sz w:val="24"/>
          <w:u w:val="single"/>
        </w:rPr>
        <w:t xml:space="preserve"> </w:t>
      </w:r>
      <w:r>
        <w:rPr>
          <w:rFonts w:eastAsia="仿宋" w:cs="Times New Roman"/>
          <w:bCs/>
          <w:snapToGrid w:val="0"/>
          <w:color w:val="000000" w:themeColor="text1"/>
          <w:spacing w:val="6"/>
          <w:kern w:val="0"/>
          <w:sz w:val="24"/>
          <w:szCs w:val="24"/>
        </w:rPr>
        <w:t>tCO</w:t>
      </w:r>
      <w:r>
        <w:rPr>
          <w:rFonts w:eastAsia="仿宋" w:cs="Times New Roman"/>
          <w:bCs/>
          <w:snapToGrid w:val="0"/>
          <w:color w:val="000000" w:themeColor="text1"/>
          <w:spacing w:val="6"/>
          <w:kern w:val="0"/>
          <w:sz w:val="24"/>
          <w:szCs w:val="24"/>
          <w:vertAlign w:val="subscript"/>
        </w:rPr>
        <w:t>2</w:t>
      </w:r>
      <w:r>
        <w:rPr>
          <w:rFonts w:eastAsia="仿宋" w:cs="Times New Roman"/>
          <w:bCs/>
          <w:snapToGrid w:val="0"/>
          <w:color w:val="000000" w:themeColor="text1"/>
          <w:spacing w:val="6"/>
          <w:kern w:val="0"/>
          <w:sz w:val="24"/>
          <w:szCs w:val="24"/>
        </w:rPr>
        <w:t>e/</w:t>
      </w:r>
      <w:r>
        <w:rPr>
          <w:rFonts w:eastAsia="仿宋" w:cs="Times New Roman"/>
          <w:bCs/>
          <w:snapToGrid w:val="0"/>
          <w:color w:val="000000" w:themeColor="text1"/>
          <w:spacing w:val="6"/>
          <w:kern w:val="0"/>
          <w:sz w:val="24"/>
          <w:szCs w:val="24"/>
        </w:rPr>
        <w:t>平方米。</w:t>
      </w:r>
    </w:p>
    <w:p w:rsidR="00EE0247" w:rsidRDefault="00EE0247">
      <w:pPr>
        <w:spacing w:line="240" w:lineRule="auto"/>
        <w:ind w:firstLine="504"/>
        <w:rPr>
          <w:rFonts w:eastAsia="仿宋" w:cs="Times New Roman"/>
          <w:snapToGrid w:val="0"/>
          <w:color w:val="000000" w:themeColor="text1"/>
          <w:spacing w:val="6"/>
          <w:kern w:val="0"/>
          <w:sz w:val="24"/>
          <w:szCs w:val="24"/>
        </w:rPr>
        <w:sectPr w:rsidR="00EE0247">
          <w:pgSz w:w="11906" w:h="16838"/>
          <w:pgMar w:top="1440" w:right="1800" w:bottom="1440" w:left="1800" w:header="851" w:footer="992" w:gutter="0"/>
          <w:cols w:space="720"/>
          <w:docGrid w:type="lines" w:linePitch="435"/>
        </w:sectPr>
      </w:pPr>
    </w:p>
    <w:p w:rsidR="00EE0247" w:rsidRDefault="007240D0">
      <w:pPr>
        <w:pStyle w:val="2"/>
        <w:rPr>
          <w:rFonts w:ascii="Times New Roman" w:hAnsi="Times New Roman" w:hint="default"/>
        </w:rPr>
      </w:pPr>
      <w:bookmarkStart w:id="26" w:name="_Toc206595326"/>
      <w:bookmarkStart w:id="27" w:name="_Toc156994198"/>
      <w:r>
        <w:rPr>
          <w:rFonts w:ascii="Times New Roman" w:hAnsi="Times New Roman" w:hint="default"/>
        </w:rPr>
        <w:lastRenderedPageBreak/>
        <w:t xml:space="preserve">6.3 </w:t>
      </w:r>
      <w:r>
        <w:rPr>
          <w:rFonts w:ascii="Times New Roman" w:hAnsi="Times New Roman" w:hint="default"/>
        </w:rPr>
        <w:t>自身经营</w:t>
      </w:r>
      <w:proofErr w:type="gramStart"/>
      <w:r>
        <w:rPr>
          <w:rFonts w:ascii="Times New Roman" w:hAnsi="Times New Roman" w:hint="default"/>
        </w:rPr>
        <w:t>的碳减排</w:t>
      </w:r>
      <w:bookmarkEnd w:id="26"/>
      <w:proofErr w:type="gramEnd"/>
    </w:p>
    <w:p w:rsidR="00EE0247" w:rsidRDefault="007240D0" w:rsidP="00D241E6">
      <w:pPr>
        <w:widowControl/>
        <w:kinsoku w:val="0"/>
        <w:autoSpaceDE w:val="0"/>
        <w:autoSpaceDN w:val="0"/>
        <w:adjustRightInd w:val="0"/>
        <w:snapToGrid w:val="0"/>
        <w:spacing w:beforeLines="50" w:line="240" w:lineRule="auto"/>
        <w:ind w:firstLine="506"/>
        <w:textAlignment w:val="baseline"/>
        <w:rPr>
          <w:rFonts w:eastAsia="仿宋" w:cs="Times New Roman"/>
          <w:snapToGrid w:val="0"/>
          <w:color w:val="000000" w:themeColor="text1"/>
          <w:spacing w:val="6"/>
          <w:kern w:val="0"/>
          <w:sz w:val="24"/>
          <w:szCs w:val="24"/>
        </w:rPr>
      </w:pPr>
      <w:r>
        <w:rPr>
          <w:rFonts w:eastAsia="仿宋" w:cs="Times New Roman"/>
          <w:b/>
          <w:bCs/>
          <w:snapToGrid w:val="0"/>
          <w:color w:val="000000" w:themeColor="text1"/>
          <w:spacing w:val="6"/>
          <w:kern w:val="0"/>
          <w:sz w:val="24"/>
          <w:szCs w:val="24"/>
        </w:rPr>
        <w:t>1</w:t>
      </w:r>
      <w:r>
        <w:rPr>
          <w:rFonts w:eastAsia="仿宋" w:cs="Times New Roman"/>
          <w:b/>
          <w:bCs/>
          <w:snapToGrid w:val="0"/>
          <w:color w:val="000000" w:themeColor="text1"/>
          <w:spacing w:val="6"/>
          <w:kern w:val="0"/>
          <w:sz w:val="24"/>
          <w:szCs w:val="24"/>
        </w:rPr>
        <w:t>）绿色办公：</w:t>
      </w:r>
      <w:r>
        <w:rPr>
          <w:rFonts w:eastAsia="仿宋" w:cs="Times New Roman"/>
          <w:snapToGrid w:val="0"/>
          <w:color w:val="000000" w:themeColor="text1"/>
          <w:spacing w:val="6"/>
          <w:kern w:val="0"/>
          <w:sz w:val="24"/>
          <w:szCs w:val="24"/>
        </w:rPr>
        <w:t>本行推行绿色办公理念，通过实施电子对账、无纸化办公、节能灯具、节能空调、节约用水、垃圾分类、新能源公务车替换等环保措施，有效降低了本行自身经营办公过程中的资源消耗强度和总体碳排放水平。</w:t>
      </w:r>
      <w:r>
        <w:rPr>
          <w:rFonts w:eastAsia="仿宋" w:cs="Times New Roman"/>
          <w:snapToGrid w:val="0"/>
          <w:color w:val="000000" w:themeColor="text1"/>
          <w:spacing w:val="6"/>
          <w:kern w:val="0"/>
          <w:sz w:val="24"/>
          <w:szCs w:val="24"/>
        </w:rPr>
        <w:t xml:space="preserve"> </w:t>
      </w:r>
    </w:p>
    <w:p w:rsidR="00EE0247" w:rsidRDefault="007240D0" w:rsidP="00D241E6">
      <w:pPr>
        <w:widowControl/>
        <w:kinsoku w:val="0"/>
        <w:autoSpaceDE w:val="0"/>
        <w:autoSpaceDN w:val="0"/>
        <w:adjustRightInd w:val="0"/>
        <w:snapToGrid w:val="0"/>
        <w:spacing w:beforeLines="50" w:line="240" w:lineRule="auto"/>
        <w:ind w:firstLine="506"/>
        <w:textAlignment w:val="baseline"/>
        <w:rPr>
          <w:rFonts w:eastAsia="仿宋" w:cs="Times New Roman"/>
          <w:snapToGrid w:val="0"/>
          <w:color w:val="000000" w:themeColor="text1"/>
          <w:spacing w:val="6"/>
          <w:kern w:val="0"/>
          <w:sz w:val="24"/>
          <w:szCs w:val="24"/>
        </w:rPr>
      </w:pPr>
      <w:r>
        <w:rPr>
          <w:rFonts w:eastAsia="仿宋" w:cs="Times New Roman"/>
          <w:b/>
          <w:bCs/>
          <w:snapToGrid w:val="0"/>
          <w:color w:val="000000" w:themeColor="text1"/>
          <w:spacing w:val="6"/>
          <w:kern w:val="0"/>
          <w:sz w:val="24"/>
          <w:szCs w:val="24"/>
        </w:rPr>
        <w:t>2</w:t>
      </w:r>
      <w:r>
        <w:rPr>
          <w:rFonts w:eastAsia="仿宋" w:cs="Times New Roman"/>
          <w:b/>
          <w:bCs/>
          <w:snapToGrid w:val="0"/>
          <w:color w:val="000000" w:themeColor="text1"/>
          <w:spacing w:val="6"/>
          <w:kern w:val="0"/>
          <w:sz w:val="24"/>
          <w:szCs w:val="24"/>
        </w:rPr>
        <w:t>）绿色采购：</w:t>
      </w:r>
      <w:r>
        <w:rPr>
          <w:rFonts w:eastAsia="仿宋" w:cs="Times New Roman"/>
          <w:snapToGrid w:val="0"/>
          <w:color w:val="000000" w:themeColor="text1"/>
          <w:spacing w:val="6"/>
          <w:kern w:val="0"/>
          <w:sz w:val="24"/>
          <w:szCs w:val="24"/>
        </w:rPr>
        <w:t>本行在采购过程中优先选择绿色低碳产品和服务，如采购节能灯具、节能设备、环保包装和再生资源纸等，从源头上控制资源浪费和不必要碳排放。</w:t>
      </w:r>
      <w:r>
        <w:rPr>
          <w:rFonts w:eastAsia="仿宋" w:cs="Times New Roman"/>
          <w:snapToGrid w:val="0"/>
          <w:color w:val="000000" w:themeColor="text1"/>
          <w:spacing w:val="6"/>
          <w:kern w:val="0"/>
          <w:sz w:val="24"/>
          <w:szCs w:val="24"/>
        </w:rPr>
        <w:t xml:space="preserve"> </w:t>
      </w:r>
    </w:p>
    <w:p w:rsidR="00EE0247" w:rsidRDefault="007240D0" w:rsidP="00D241E6">
      <w:pPr>
        <w:widowControl/>
        <w:kinsoku w:val="0"/>
        <w:autoSpaceDE w:val="0"/>
        <w:autoSpaceDN w:val="0"/>
        <w:adjustRightInd w:val="0"/>
        <w:snapToGrid w:val="0"/>
        <w:spacing w:beforeLines="50" w:line="240" w:lineRule="auto"/>
        <w:ind w:firstLine="506"/>
        <w:textAlignment w:val="baseline"/>
        <w:rPr>
          <w:rFonts w:eastAsia="仿宋" w:cs="Times New Roman"/>
          <w:snapToGrid w:val="0"/>
          <w:color w:val="000000" w:themeColor="text1"/>
          <w:spacing w:val="6"/>
          <w:kern w:val="0"/>
          <w:sz w:val="24"/>
          <w:szCs w:val="24"/>
        </w:rPr>
      </w:pPr>
      <w:r>
        <w:rPr>
          <w:rFonts w:eastAsia="仿宋" w:cs="Times New Roman"/>
          <w:b/>
          <w:bCs/>
          <w:snapToGrid w:val="0"/>
          <w:color w:val="000000" w:themeColor="text1"/>
          <w:spacing w:val="6"/>
          <w:kern w:val="0"/>
          <w:sz w:val="24"/>
          <w:szCs w:val="24"/>
        </w:rPr>
        <w:t>3</w:t>
      </w:r>
      <w:r>
        <w:rPr>
          <w:rFonts w:eastAsia="仿宋" w:cs="Times New Roman"/>
          <w:b/>
          <w:bCs/>
          <w:snapToGrid w:val="0"/>
          <w:color w:val="000000" w:themeColor="text1"/>
          <w:spacing w:val="6"/>
          <w:kern w:val="0"/>
          <w:sz w:val="24"/>
          <w:szCs w:val="24"/>
        </w:rPr>
        <w:t>）绿色生活：</w:t>
      </w:r>
      <w:r>
        <w:rPr>
          <w:rFonts w:eastAsia="仿宋" w:cs="Times New Roman"/>
          <w:snapToGrid w:val="0"/>
          <w:color w:val="000000" w:themeColor="text1"/>
          <w:spacing w:val="6"/>
          <w:kern w:val="0"/>
          <w:sz w:val="24"/>
          <w:szCs w:val="24"/>
        </w:rPr>
        <w:t>本行积极倡导全体领导干部和在职员工带头</w:t>
      </w:r>
      <w:proofErr w:type="gramStart"/>
      <w:r>
        <w:rPr>
          <w:rFonts w:eastAsia="仿宋" w:cs="Times New Roman"/>
          <w:snapToGrid w:val="0"/>
          <w:color w:val="000000" w:themeColor="text1"/>
          <w:spacing w:val="6"/>
          <w:kern w:val="0"/>
          <w:sz w:val="24"/>
          <w:szCs w:val="24"/>
        </w:rPr>
        <w:t>践行</w:t>
      </w:r>
      <w:proofErr w:type="gramEnd"/>
      <w:r>
        <w:rPr>
          <w:rFonts w:eastAsia="仿宋" w:cs="Times New Roman"/>
          <w:snapToGrid w:val="0"/>
          <w:color w:val="000000" w:themeColor="text1"/>
          <w:spacing w:val="6"/>
          <w:kern w:val="0"/>
          <w:sz w:val="24"/>
          <w:szCs w:val="24"/>
        </w:rPr>
        <w:t>低碳工作、低碳出行、低碳生活、低碳消费，以点带面推动绿色生活理念的普及。</w:t>
      </w:r>
      <w:r>
        <w:rPr>
          <w:rFonts w:eastAsia="仿宋" w:cs="Times New Roman"/>
          <w:snapToGrid w:val="0"/>
          <w:color w:val="000000" w:themeColor="text1"/>
          <w:spacing w:val="6"/>
          <w:kern w:val="0"/>
          <w:sz w:val="24"/>
          <w:szCs w:val="24"/>
        </w:rPr>
        <w:t xml:space="preserve"> </w:t>
      </w:r>
    </w:p>
    <w:p w:rsidR="00EE0247" w:rsidRDefault="007240D0" w:rsidP="00D241E6">
      <w:pPr>
        <w:widowControl/>
        <w:kinsoku w:val="0"/>
        <w:autoSpaceDE w:val="0"/>
        <w:autoSpaceDN w:val="0"/>
        <w:adjustRightInd w:val="0"/>
        <w:snapToGrid w:val="0"/>
        <w:spacing w:beforeLines="50" w:line="240" w:lineRule="auto"/>
        <w:ind w:firstLine="506"/>
        <w:textAlignment w:val="baseline"/>
        <w:rPr>
          <w:rFonts w:eastAsia="仿宋" w:cs="Times New Roman"/>
          <w:snapToGrid w:val="0"/>
          <w:color w:val="000000" w:themeColor="text1"/>
          <w:spacing w:val="6"/>
          <w:kern w:val="0"/>
          <w:sz w:val="24"/>
          <w:szCs w:val="24"/>
        </w:rPr>
      </w:pPr>
      <w:r>
        <w:rPr>
          <w:rFonts w:eastAsia="仿宋" w:cs="Times New Roman"/>
          <w:b/>
          <w:bCs/>
          <w:snapToGrid w:val="0"/>
          <w:color w:val="000000" w:themeColor="text1"/>
          <w:spacing w:val="6"/>
          <w:kern w:val="0"/>
          <w:sz w:val="24"/>
          <w:szCs w:val="24"/>
        </w:rPr>
        <w:t>4</w:t>
      </w:r>
      <w:r>
        <w:rPr>
          <w:rFonts w:eastAsia="仿宋" w:cs="Times New Roman"/>
          <w:b/>
          <w:bCs/>
          <w:snapToGrid w:val="0"/>
          <w:color w:val="000000" w:themeColor="text1"/>
          <w:spacing w:val="6"/>
          <w:kern w:val="0"/>
          <w:sz w:val="24"/>
          <w:szCs w:val="24"/>
        </w:rPr>
        <w:t>）低碳宣传：</w:t>
      </w:r>
      <w:r>
        <w:rPr>
          <w:rFonts w:eastAsia="仿宋" w:cs="Times New Roman"/>
          <w:snapToGrid w:val="0"/>
          <w:color w:val="000000" w:themeColor="text1"/>
          <w:spacing w:val="6"/>
          <w:kern w:val="0"/>
          <w:sz w:val="24"/>
          <w:szCs w:val="24"/>
        </w:rPr>
        <w:t>本行积极开展绿色低碳主题宣传活动，通过内部培训、宣传海报、公益活动等形式，提升环保意识，倡导绿色生活方式，形成良好的环保氛围。</w:t>
      </w:r>
    </w:p>
    <w:p w:rsidR="00EE0247" w:rsidRDefault="007240D0">
      <w:pPr>
        <w:ind w:firstLine="504"/>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br w:type="page"/>
      </w:r>
    </w:p>
    <w:p w:rsidR="00EE0247" w:rsidRDefault="007240D0">
      <w:pPr>
        <w:pStyle w:val="1"/>
        <w:rPr>
          <w:rFonts w:cs="Times New Roman"/>
        </w:rPr>
      </w:pPr>
      <w:bookmarkStart w:id="28" w:name="_Toc206595327"/>
      <w:r>
        <w:rPr>
          <w:rFonts w:cs="Times New Roman"/>
        </w:rPr>
        <w:lastRenderedPageBreak/>
        <w:t>第七章</w:t>
      </w:r>
      <w:r>
        <w:rPr>
          <w:rFonts w:cs="Times New Roman"/>
        </w:rPr>
        <w:t xml:space="preserve"> </w:t>
      </w:r>
      <w:r>
        <w:rPr>
          <w:rFonts w:cs="Times New Roman"/>
        </w:rPr>
        <w:t>投融资活动的碳排放</w:t>
      </w:r>
      <w:bookmarkEnd w:id="28"/>
    </w:p>
    <w:p w:rsidR="00EE0247" w:rsidRDefault="007240D0">
      <w:pPr>
        <w:pStyle w:val="2"/>
        <w:rPr>
          <w:rFonts w:ascii="Times New Roman" w:hAnsi="Times New Roman" w:hint="default"/>
        </w:rPr>
      </w:pPr>
      <w:bookmarkStart w:id="29" w:name="_Toc206595328"/>
      <w:bookmarkEnd w:id="27"/>
      <w:r>
        <w:rPr>
          <w:rFonts w:ascii="Times New Roman" w:hAnsi="Times New Roman" w:hint="default"/>
        </w:rPr>
        <w:t xml:space="preserve">7.1 </w:t>
      </w:r>
      <w:r>
        <w:rPr>
          <w:rFonts w:ascii="Times New Roman" w:hAnsi="Times New Roman" w:hint="default"/>
        </w:rPr>
        <w:t>信贷资产</w:t>
      </w:r>
      <w:bookmarkEnd w:id="29"/>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报告年度内本行应纳入投融资活动碳排放核算的贷款企业共计</w:t>
      </w:r>
      <w:r>
        <w:rPr>
          <w:rFonts w:eastAsia="仿宋" w:cs="Times New Roman"/>
          <w:snapToGrid w:val="0"/>
          <w:color w:val="000000" w:themeColor="text1"/>
          <w:spacing w:val="6"/>
          <w:kern w:val="0"/>
          <w:sz w:val="24"/>
          <w:szCs w:val="24"/>
          <w:u w:val="single"/>
        </w:rPr>
        <w:t xml:space="preserve"> 696 </w:t>
      </w:r>
      <w:r>
        <w:rPr>
          <w:rFonts w:eastAsia="仿宋" w:cs="Times New Roman"/>
          <w:snapToGrid w:val="0"/>
          <w:color w:val="000000" w:themeColor="text1"/>
          <w:spacing w:val="6"/>
          <w:kern w:val="0"/>
          <w:sz w:val="24"/>
          <w:szCs w:val="24"/>
        </w:rPr>
        <w:t>家，实际核算</w:t>
      </w:r>
      <w:r>
        <w:rPr>
          <w:rFonts w:eastAsia="仿宋" w:cs="Times New Roman"/>
          <w:snapToGrid w:val="0"/>
          <w:color w:val="000000" w:themeColor="text1"/>
          <w:spacing w:val="6"/>
          <w:kern w:val="0"/>
          <w:sz w:val="24"/>
          <w:szCs w:val="24"/>
          <w:u w:val="single"/>
        </w:rPr>
        <w:t xml:space="preserve"> 622 </w:t>
      </w:r>
      <w:r>
        <w:rPr>
          <w:rFonts w:eastAsia="仿宋" w:cs="Times New Roman"/>
          <w:snapToGrid w:val="0"/>
          <w:color w:val="000000" w:themeColor="text1"/>
          <w:spacing w:val="6"/>
          <w:kern w:val="0"/>
          <w:sz w:val="24"/>
          <w:szCs w:val="24"/>
        </w:rPr>
        <w:t>家，核算户数比例为</w:t>
      </w:r>
      <w:r>
        <w:rPr>
          <w:rFonts w:eastAsia="仿宋" w:cs="Times New Roman"/>
          <w:snapToGrid w:val="0"/>
          <w:color w:val="000000" w:themeColor="text1"/>
          <w:spacing w:val="6"/>
          <w:kern w:val="0"/>
          <w:sz w:val="24"/>
          <w:szCs w:val="24"/>
          <w:u w:val="single"/>
        </w:rPr>
        <w:t xml:space="preserve"> 89.37 </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 xml:space="preserve">   </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经核算，报告年度内本行投融资活动中信贷资产碳排放合计为</w:t>
      </w:r>
      <w:r>
        <w:rPr>
          <w:rFonts w:eastAsia="仿宋" w:cs="Times New Roman"/>
          <w:bCs/>
          <w:snapToGrid w:val="0"/>
          <w:color w:val="000000" w:themeColor="text1"/>
          <w:spacing w:val="6"/>
          <w:kern w:val="0"/>
          <w:sz w:val="24"/>
          <w:szCs w:val="24"/>
          <w:u w:val="single"/>
        </w:rPr>
        <w:t xml:space="preserve"> </w:t>
      </w:r>
      <w:r>
        <w:rPr>
          <w:rFonts w:eastAsia="仿宋" w:cs="Times New Roman"/>
          <w:color w:val="000000"/>
          <w:spacing w:val="6"/>
          <w:sz w:val="24"/>
          <w:u w:val="single"/>
        </w:rPr>
        <w:t xml:space="preserve">121218.23 </w:t>
      </w:r>
      <w:r>
        <w:rPr>
          <w:rFonts w:eastAsia="仿宋" w:cs="Times New Roman"/>
          <w:bCs/>
          <w:snapToGrid w:val="0"/>
          <w:color w:val="000000" w:themeColor="text1"/>
          <w:spacing w:val="6"/>
          <w:kern w:val="0"/>
          <w:sz w:val="24"/>
          <w:szCs w:val="24"/>
        </w:rPr>
        <w:t>tCO</w:t>
      </w:r>
      <w:r>
        <w:rPr>
          <w:rFonts w:eastAsia="仿宋" w:cs="Times New Roman"/>
          <w:bCs/>
          <w:snapToGrid w:val="0"/>
          <w:color w:val="000000" w:themeColor="text1"/>
          <w:spacing w:val="6"/>
          <w:kern w:val="0"/>
          <w:sz w:val="24"/>
          <w:szCs w:val="24"/>
          <w:vertAlign w:val="subscript"/>
        </w:rPr>
        <w:t>2</w:t>
      </w:r>
      <w:r>
        <w:rPr>
          <w:rFonts w:eastAsia="仿宋" w:cs="Times New Roman"/>
          <w:bCs/>
          <w:snapToGrid w:val="0"/>
          <w:color w:val="000000" w:themeColor="text1"/>
          <w:spacing w:val="6"/>
          <w:kern w:val="0"/>
          <w:sz w:val="24"/>
          <w:szCs w:val="24"/>
        </w:rPr>
        <w:t>e</w:t>
      </w:r>
      <w:r>
        <w:rPr>
          <w:rFonts w:eastAsia="仿宋" w:cs="Times New Roman"/>
          <w:bCs/>
          <w:snapToGrid w:val="0"/>
          <w:color w:val="000000" w:themeColor="text1"/>
          <w:spacing w:val="6"/>
          <w:kern w:val="0"/>
          <w:sz w:val="24"/>
          <w:szCs w:val="24"/>
        </w:rPr>
        <w:t>，其中项目贷款产生的碳排放</w:t>
      </w:r>
      <w:r>
        <w:rPr>
          <w:rFonts w:eastAsia="仿宋" w:cs="Times New Roman"/>
          <w:bCs/>
          <w:snapToGrid w:val="0"/>
          <w:color w:val="000000" w:themeColor="text1"/>
          <w:spacing w:val="6"/>
          <w:kern w:val="0"/>
          <w:sz w:val="24"/>
          <w:szCs w:val="24"/>
          <w:u w:val="single"/>
        </w:rPr>
        <w:t xml:space="preserve"> </w:t>
      </w:r>
      <w:r>
        <w:rPr>
          <w:rFonts w:eastAsia="仿宋" w:cs="Times New Roman"/>
          <w:color w:val="000000"/>
          <w:spacing w:val="6"/>
          <w:sz w:val="24"/>
          <w:u w:val="single"/>
        </w:rPr>
        <w:t xml:space="preserve">0 </w:t>
      </w:r>
      <w:r>
        <w:rPr>
          <w:rFonts w:eastAsia="仿宋" w:cs="Times New Roman"/>
          <w:bCs/>
          <w:snapToGrid w:val="0"/>
          <w:color w:val="000000" w:themeColor="text1"/>
          <w:spacing w:val="6"/>
          <w:kern w:val="0"/>
          <w:sz w:val="24"/>
          <w:szCs w:val="24"/>
        </w:rPr>
        <w:t>tCO</w:t>
      </w:r>
      <w:r>
        <w:rPr>
          <w:rFonts w:eastAsia="仿宋" w:cs="Times New Roman"/>
          <w:bCs/>
          <w:snapToGrid w:val="0"/>
          <w:color w:val="000000" w:themeColor="text1"/>
          <w:spacing w:val="6"/>
          <w:kern w:val="0"/>
          <w:sz w:val="24"/>
          <w:szCs w:val="24"/>
          <w:vertAlign w:val="subscript"/>
        </w:rPr>
        <w:t>2</w:t>
      </w:r>
      <w:r>
        <w:rPr>
          <w:rFonts w:eastAsia="仿宋" w:cs="Times New Roman"/>
          <w:bCs/>
          <w:snapToGrid w:val="0"/>
          <w:color w:val="000000" w:themeColor="text1"/>
          <w:spacing w:val="6"/>
          <w:kern w:val="0"/>
          <w:sz w:val="24"/>
          <w:szCs w:val="24"/>
        </w:rPr>
        <w:t>e</w:t>
      </w:r>
      <w:r>
        <w:rPr>
          <w:rFonts w:eastAsia="仿宋" w:cs="Times New Roman"/>
          <w:bCs/>
          <w:snapToGrid w:val="0"/>
          <w:color w:val="000000" w:themeColor="text1"/>
          <w:spacing w:val="6"/>
          <w:kern w:val="0"/>
          <w:sz w:val="24"/>
          <w:szCs w:val="24"/>
        </w:rPr>
        <w:t>，非项目贷款产生的碳排放</w:t>
      </w:r>
      <w:r>
        <w:rPr>
          <w:rFonts w:eastAsia="仿宋" w:cs="Times New Roman"/>
          <w:bCs/>
          <w:snapToGrid w:val="0"/>
          <w:color w:val="000000" w:themeColor="text1"/>
          <w:spacing w:val="6"/>
          <w:kern w:val="0"/>
          <w:sz w:val="24"/>
          <w:szCs w:val="24"/>
          <w:u w:val="single"/>
        </w:rPr>
        <w:t xml:space="preserve"> </w:t>
      </w:r>
      <w:r>
        <w:rPr>
          <w:rFonts w:eastAsia="仿宋" w:cs="Times New Roman"/>
          <w:color w:val="000000"/>
          <w:spacing w:val="6"/>
          <w:sz w:val="24"/>
          <w:u w:val="single"/>
        </w:rPr>
        <w:t xml:space="preserve">121218.23 </w:t>
      </w:r>
      <w:r>
        <w:rPr>
          <w:rFonts w:eastAsia="仿宋" w:cs="Times New Roman"/>
          <w:bCs/>
          <w:snapToGrid w:val="0"/>
          <w:color w:val="000000" w:themeColor="text1"/>
          <w:spacing w:val="6"/>
          <w:kern w:val="0"/>
          <w:sz w:val="24"/>
          <w:szCs w:val="24"/>
        </w:rPr>
        <w:t>tCO</w:t>
      </w:r>
      <w:r>
        <w:rPr>
          <w:rFonts w:eastAsia="仿宋" w:cs="Times New Roman"/>
          <w:bCs/>
          <w:snapToGrid w:val="0"/>
          <w:color w:val="000000" w:themeColor="text1"/>
          <w:spacing w:val="6"/>
          <w:kern w:val="0"/>
          <w:sz w:val="24"/>
          <w:szCs w:val="24"/>
          <w:vertAlign w:val="subscript"/>
        </w:rPr>
        <w:t>2</w:t>
      </w:r>
      <w:r>
        <w:rPr>
          <w:rFonts w:eastAsia="仿宋" w:cs="Times New Roman"/>
          <w:bCs/>
          <w:snapToGrid w:val="0"/>
          <w:color w:val="000000" w:themeColor="text1"/>
          <w:spacing w:val="6"/>
          <w:kern w:val="0"/>
          <w:sz w:val="24"/>
          <w:szCs w:val="24"/>
        </w:rPr>
        <w:t>e</w:t>
      </w:r>
      <w:r>
        <w:rPr>
          <w:rFonts w:eastAsia="仿宋" w:cs="Times New Roman"/>
          <w:bCs/>
          <w:snapToGrid w:val="0"/>
          <w:color w:val="000000" w:themeColor="text1"/>
          <w:spacing w:val="6"/>
          <w:kern w:val="0"/>
          <w:sz w:val="24"/>
          <w:szCs w:val="24"/>
        </w:rPr>
        <w:t>。</w:t>
      </w:r>
    </w:p>
    <w:p w:rsidR="00EE0247" w:rsidRDefault="007240D0">
      <w:pPr>
        <w:widowControl/>
        <w:spacing w:line="240" w:lineRule="auto"/>
        <w:ind w:firstLineChars="0" w:firstLine="0"/>
        <w:jc w:val="center"/>
        <w:rPr>
          <w:rFonts w:eastAsia="宋体" w:cs="Times New Roman"/>
          <w:b/>
          <w:bCs/>
          <w:color w:val="000000" w:themeColor="text1"/>
          <w:kern w:val="0"/>
          <w:sz w:val="18"/>
          <w:szCs w:val="18"/>
        </w:rPr>
      </w:pPr>
      <w:r>
        <w:rPr>
          <w:rFonts w:eastAsia="宋体" w:cs="Times New Roman"/>
          <w:b/>
          <w:bCs/>
          <w:color w:val="000000" w:themeColor="text1"/>
          <w:kern w:val="0"/>
          <w:sz w:val="18"/>
          <w:szCs w:val="18"/>
        </w:rPr>
        <w:t>7-1</w:t>
      </w:r>
      <w:r>
        <w:rPr>
          <w:rFonts w:eastAsia="宋体" w:cs="Times New Roman"/>
          <w:b/>
          <w:bCs/>
          <w:color w:val="000000" w:themeColor="text1"/>
          <w:kern w:val="0"/>
          <w:sz w:val="18"/>
          <w:szCs w:val="18"/>
        </w:rPr>
        <w:t>信贷资产碳排放</w:t>
      </w:r>
    </w:p>
    <w:tbl>
      <w:tblPr>
        <w:tblpPr w:leftFromText="180" w:rightFromText="180" w:vertAnchor="text" w:horzAnchor="page" w:tblpX="1542" w:tblpY="293"/>
        <w:tblOverlap w:val="never"/>
        <w:tblW w:w="4992" w:type="pct"/>
        <w:tblLook w:val="04A0"/>
      </w:tblPr>
      <w:tblGrid>
        <w:gridCol w:w="3435"/>
        <w:gridCol w:w="6273"/>
        <w:gridCol w:w="2386"/>
        <w:gridCol w:w="2488"/>
      </w:tblGrid>
      <w:tr w:rsidR="00EE0247">
        <w:trPr>
          <w:trHeight w:val="392"/>
          <w:tblHeader/>
        </w:trPr>
        <w:tc>
          <w:tcPr>
            <w:tcW w:w="1177" w:type="pct"/>
            <w:tcBorders>
              <w:top w:val="single" w:sz="4" w:space="0" w:color="000000"/>
              <w:left w:val="single" w:sz="4" w:space="0" w:color="000000"/>
              <w:bottom w:val="single" w:sz="4" w:space="0" w:color="000000"/>
              <w:right w:val="single" w:sz="4" w:space="0" w:color="000000"/>
            </w:tcBorders>
            <w:noWrap/>
            <w:vAlign w:val="center"/>
          </w:tcPr>
          <w:p w:rsidR="00EE0247" w:rsidRDefault="007240D0" w:rsidP="00D61DDB">
            <w:pPr>
              <w:ind w:firstLine="361"/>
              <w:rPr>
                <w:rFonts w:cs="Times New Roman"/>
              </w:rPr>
            </w:pPr>
            <w:r>
              <w:rPr>
                <w:rFonts w:eastAsia="宋体" w:cs="Times New Roman"/>
                <w:b/>
                <w:sz w:val="18"/>
              </w:rPr>
              <w:t>资产类别</w:t>
            </w:r>
          </w:p>
        </w:tc>
        <w:tc>
          <w:tcPr>
            <w:tcW w:w="2150" w:type="pct"/>
            <w:tcBorders>
              <w:top w:val="single" w:sz="4" w:space="0" w:color="000000"/>
              <w:left w:val="single" w:sz="4" w:space="0" w:color="000000"/>
              <w:bottom w:val="single" w:sz="4" w:space="0" w:color="000000"/>
              <w:right w:val="single" w:sz="4" w:space="0" w:color="000000"/>
            </w:tcBorders>
            <w:vAlign w:val="center"/>
          </w:tcPr>
          <w:p w:rsidR="00EE0247" w:rsidRDefault="007240D0">
            <w:pPr>
              <w:widowControl/>
              <w:spacing w:line="240" w:lineRule="auto"/>
              <w:ind w:firstLineChars="0" w:firstLine="0"/>
              <w:jc w:val="center"/>
              <w:rPr>
                <w:rFonts w:eastAsia="宋体" w:cs="Times New Roman"/>
                <w:b/>
                <w:color w:val="000000" w:themeColor="text1"/>
                <w:kern w:val="0"/>
                <w:sz w:val="18"/>
                <w:szCs w:val="18"/>
              </w:rPr>
            </w:pPr>
            <w:r>
              <w:rPr>
                <w:rFonts w:eastAsia="宋体" w:cs="Times New Roman"/>
                <w:b/>
                <w:color w:val="000000" w:themeColor="text1"/>
                <w:kern w:val="0"/>
                <w:sz w:val="18"/>
                <w:szCs w:val="18"/>
              </w:rPr>
              <w:t>指标名称</w:t>
            </w:r>
          </w:p>
        </w:tc>
        <w:tc>
          <w:tcPr>
            <w:tcW w:w="818" w:type="pct"/>
            <w:tcBorders>
              <w:top w:val="single" w:sz="4" w:space="0" w:color="000000"/>
              <w:left w:val="single" w:sz="4" w:space="0" w:color="000000"/>
              <w:bottom w:val="single" w:sz="4" w:space="0" w:color="000000"/>
              <w:right w:val="single" w:sz="4" w:space="0" w:color="000000"/>
            </w:tcBorders>
            <w:vAlign w:val="center"/>
          </w:tcPr>
          <w:p w:rsidR="00EE0247" w:rsidRDefault="007240D0">
            <w:pPr>
              <w:widowControl/>
              <w:spacing w:line="240" w:lineRule="auto"/>
              <w:ind w:firstLineChars="0" w:firstLine="0"/>
              <w:jc w:val="center"/>
              <w:rPr>
                <w:rFonts w:eastAsia="宋体" w:cs="Times New Roman"/>
                <w:b/>
                <w:color w:val="000000" w:themeColor="text1"/>
                <w:kern w:val="0"/>
                <w:sz w:val="18"/>
                <w:szCs w:val="18"/>
              </w:rPr>
            </w:pPr>
            <w:r>
              <w:rPr>
                <w:rFonts w:eastAsia="宋体" w:cs="Times New Roman"/>
                <w:b/>
                <w:color w:val="000000" w:themeColor="text1"/>
                <w:kern w:val="0"/>
                <w:sz w:val="18"/>
                <w:szCs w:val="18"/>
              </w:rPr>
              <w:t>单位</w:t>
            </w:r>
          </w:p>
        </w:tc>
        <w:tc>
          <w:tcPr>
            <w:tcW w:w="852" w:type="pct"/>
            <w:tcBorders>
              <w:top w:val="single" w:sz="4" w:space="0" w:color="000000"/>
              <w:left w:val="single" w:sz="4" w:space="0" w:color="000000"/>
              <w:bottom w:val="single" w:sz="4" w:space="0" w:color="000000"/>
              <w:right w:val="single" w:sz="4" w:space="0" w:color="000000"/>
            </w:tcBorders>
            <w:vAlign w:val="center"/>
          </w:tcPr>
          <w:p w:rsidR="00EE0247" w:rsidRDefault="007240D0">
            <w:pPr>
              <w:widowControl/>
              <w:spacing w:line="240" w:lineRule="auto"/>
              <w:ind w:firstLineChars="0" w:firstLine="0"/>
              <w:jc w:val="center"/>
              <w:rPr>
                <w:rFonts w:eastAsia="宋体" w:cs="Times New Roman"/>
                <w:b/>
                <w:color w:val="000000" w:themeColor="text1"/>
                <w:kern w:val="0"/>
                <w:sz w:val="18"/>
                <w:szCs w:val="18"/>
              </w:rPr>
            </w:pPr>
            <w:r>
              <w:rPr>
                <w:rFonts w:eastAsia="宋体" w:cs="Times New Roman"/>
                <w:b/>
                <w:color w:val="000000" w:themeColor="text1"/>
                <w:kern w:val="0"/>
                <w:sz w:val="18"/>
                <w:szCs w:val="18"/>
              </w:rPr>
              <w:t>2024</w:t>
            </w:r>
            <w:r>
              <w:rPr>
                <w:rFonts w:eastAsia="宋体" w:cs="Times New Roman"/>
                <w:b/>
                <w:color w:val="000000" w:themeColor="text1"/>
                <w:kern w:val="0"/>
                <w:sz w:val="18"/>
                <w:szCs w:val="18"/>
              </w:rPr>
              <w:t>年</w:t>
            </w:r>
          </w:p>
        </w:tc>
      </w:tr>
      <w:tr w:rsidR="00EE0247">
        <w:trPr>
          <w:trHeight w:val="437"/>
        </w:trPr>
        <w:tc>
          <w:tcPr>
            <w:tcW w:w="1177" w:type="pct"/>
            <w:vMerge w:val="restart"/>
            <w:tcBorders>
              <w:top w:val="single" w:sz="4" w:space="0" w:color="000000"/>
              <w:left w:val="single" w:sz="4" w:space="0" w:color="000000"/>
              <w:bottom w:val="single" w:sz="4" w:space="0" w:color="000000"/>
              <w:right w:val="single" w:sz="4" w:space="0" w:color="000000"/>
            </w:tcBorders>
            <w:noWrap/>
            <w:vAlign w:val="center"/>
          </w:tcPr>
          <w:p w:rsidR="00EE0247" w:rsidRDefault="007240D0">
            <w:pPr>
              <w:widowControl/>
              <w:spacing w:line="240" w:lineRule="auto"/>
              <w:ind w:firstLineChars="0" w:firstLine="0"/>
              <w:jc w:val="center"/>
              <w:rPr>
                <w:rFonts w:eastAsia="宋体" w:cs="Times New Roman"/>
                <w:bCs/>
                <w:color w:val="000000" w:themeColor="text1"/>
                <w:kern w:val="0"/>
                <w:sz w:val="18"/>
                <w:szCs w:val="18"/>
              </w:rPr>
            </w:pPr>
            <w:r>
              <w:rPr>
                <w:rFonts w:eastAsia="宋体" w:cs="Times New Roman"/>
                <w:bCs/>
                <w:color w:val="000000"/>
                <w:kern w:val="0"/>
                <w:sz w:val="18"/>
                <w:szCs w:val="18"/>
              </w:rPr>
              <w:t>项目贷款</w:t>
            </w:r>
          </w:p>
        </w:tc>
        <w:tc>
          <w:tcPr>
            <w:tcW w:w="2150" w:type="pct"/>
            <w:tcBorders>
              <w:top w:val="single" w:sz="4" w:space="0" w:color="000000"/>
              <w:left w:val="single" w:sz="4" w:space="0" w:color="000000"/>
              <w:bottom w:val="single" w:sz="4" w:space="0" w:color="000000"/>
              <w:right w:val="single" w:sz="4" w:space="0" w:color="000000"/>
            </w:tcBorders>
            <w:vAlign w:val="center"/>
          </w:tcPr>
          <w:p w:rsidR="00EE0247" w:rsidRDefault="007240D0">
            <w:pPr>
              <w:widowControl/>
              <w:spacing w:line="240" w:lineRule="auto"/>
              <w:ind w:firstLine="360"/>
              <w:jc w:val="center"/>
              <w:rPr>
                <w:rFonts w:eastAsia="宋体" w:cs="Times New Roman"/>
                <w:bCs/>
                <w:color w:val="000000" w:themeColor="text1"/>
                <w:kern w:val="0"/>
                <w:sz w:val="18"/>
                <w:szCs w:val="18"/>
              </w:rPr>
            </w:pPr>
            <w:r>
              <w:rPr>
                <w:rFonts w:eastAsia="宋体" w:cs="Times New Roman"/>
                <w:bCs/>
                <w:color w:val="000000"/>
                <w:kern w:val="0"/>
                <w:sz w:val="18"/>
                <w:szCs w:val="18"/>
              </w:rPr>
              <w:t>投融资碳排放量</w:t>
            </w:r>
          </w:p>
        </w:tc>
        <w:tc>
          <w:tcPr>
            <w:tcW w:w="818" w:type="pct"/>
            <w:tcBorders>
              <w:top w:val="single" w:sz="4" w:space="0" w:color="000000"/>
              <w:left w:val="single" w:sz="4" w:space="0" w:color="000000"/>
              <w:bottom w:val="single" w:sz="4" w:space="0" w:color="000000"/>
              <w:right w:val="single" w:sz="4" w:space="0" w:color="000000"/>
            </w:tcBorders>
            <w:vAlign w:val="center"/>
          </w:tcPr>
          <w:p w:rsidR="00EE0247" w:rsidRDefault="007240D0">
            <w:pPr>
              <w:widowControl/>
              <w:spacing w:line="240" w:lineRule="auto"/>
              <w:ind w:firstLineChars="0" w:firstLine="0"/>
              <w:jc w:val="center"/>
              <w:rPr>
                <w:rFonts w:eastAsia="宋体" w:cs="Times New Roman"/>
                <w:bCs/>
                <w:kern w:val="0"/>
                <w:sz w:val="18"/>
                <w:szCs w:val="18"/>
              </w:rPr>
            </w:pPr>
            <w:r>
              <w:rPr>
                <w:rFonts w:eastAsia="宋体" w:cs="Times New Roman"/>
                <w:bCs/>
                <w:kern w:val="0"/>
                <w:sz w:val="18"/>
                <w:szCs w:val="18"/>
              </w:rPr>
              <w:t>tCO</w:t>
            </w:r>
            <w:r>
              <w:rPr>
                <w:rFonts w:eastAsia="宋体" w:cs="Times New Roman"/>
                <w:bCs/>
                <w:kern w:val="0"/>
                <w:sz w:val="18"/>
                <w:szCs w:val="18"/>
                <w:vertAlign w:val="subscript"/>
              </w:rPr>
              <w:t>2</w:t>
            </w:r>
            <w:r>
              <w:rPr>
                <w:rFonts w:eastAsia="宋体" w:cs="Times New Roman"/>
                <w:bCs/>
                <w:kern w:val="0"/>
                <w:sz w:val="18"/>
                <w:szCs w:val="18"/>
              </w:rPr>
              <w:t>e</w:t>
            </w:r>
          </w:p>
        </w:tc>
        <w:tc>
          <w:tcPr>
            <w:tcW w:w="852" w:type="pct"/>
            <w:tcBorders>
              <w:top w:val="single" w:sz="4" w:space="0" w:color="000000"/>
              <w:left w:val="single" w:sz="4" w:space="0" w:color="000000"/>
              <w:bottom w:val="single" w:sz="4" w:space="0" w:color="000000"/>
              <w:right w:val="single" w:sz="4" w:space="0" w:color="000000"/>
            </w:tcBorders>
            <w:vAlign w:val="bottom"/>
          </w:tcPr>
          <w:p w:rsidR="00EE0247" w:rsidRDefault="007240D0">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0</w:t>
            </w:r>
          </w:p>
        </w:tc>
      </w:tr>
      <w:tr w:rsidR="00EE0247">
        <w:trPr>
          <w:trHeight w:val="437"/>
        </w:trPr>
        <w:tc>
          <w:tcPr>
            <w:tcW w:w="1177" w:type="pct"/>
            <w:vMerge/>
            <w:tcBorders>
              <w:top w:val="single" w:sz="4" w:space="0" w:color="000000"/>
              <w:left w:val="single" w:sz="4" w:space="0" w:color="000000"/>
              <w:bottom w:val="single" w:sz="4" w:space="0" w:color="000000"/>
              <w:right w:val="single" w:sz="4" w:space="0" w:color="000000"/>
            </w:tcBorders>
            <w:noWrap/>
            <w:vAlign w:val="center"/>
          </w:tcPr>
          <w:p w:rsidR="00EE0247" w:rsidRDefault="007240D0">
            <w:pPr>
              <w:widowControl/>
              <w:spacing w:line="240" w:lineRule="auto"/>
              <w:ind w:firstLineChars="0" w:firstLine="0"/>
              <w:jc w:val="center"/>
              <w:rPr>
                <w:rFonts w:eastAsia="宋体" w:cs="Times New Roman"/>
                <w:bCs/>
                <w:color w:val="000000" w:themeColor="text1"/>
                <w:kern w:val="0"/>
                <w:sz w:val="18"/>
                <w:szCs w:val="18"/>
              </w:rPr>
            </w:pPr>
            <w:r>
              <w:rPr>
                <w:rFonts w:eastAsia="宋体" w:cs="Times New Roman"/>
                <w:bCs/>
                <w:color w:val="000000"/>
                <w:kern w:val="0"/>
                <w:sz w:val="18"/>
                <w:szCs w:val="18"/>
              </w:rPr>
              <w:t>项目贷款</w:t>
            </w:r>
          </w:p>
        </w:tc>
        <w:tc>
          <w:tcPr>
            <w:tcW w:w="2150" w:type="pct"/>
            <w:tcBorders>
              <w:top w:val="single" w:sz="4" w:space="0" w:color="000000"/>
              <w:left w:val="single" w:sz="4" w:space="0" w:color="000000"/>
              <w:bottom w:val="single" w:sz="4" w:space="0" w:color="000000"/>
              <w:right w:val="single" w:sz="4" w:space="0" w:color="000000"/>
            </w:tcBorders>
            <w:vAlign w:val="center"/>
          </w:tcPr>
          <w:p w:rsidR="00EE0247" w:rsidRDefault="007240D0">
            <w:pPr>
              <w:widowControl/>
              <w:spacing w:line="240" w:lineRule="auto"/>
              <w:ind w:firstLine="360"/>
              <w:jc w:val="center"/>
              <w:rPr>
                <w:rFonts w:eastAsia="宋体" w:cs="Times New Roman"/>
                <w:bCs/>
                <w:color w:val="000000" w:themeColor="text1"/>
                <w:kern w:val="0"/>
                <w:sz w:val="18"/>
                <w:szCs w:val="18"/>
              </w:rPr>
            </w:pPr>
            <w:r>
              <w:rPr>
                <w:rFonts w:eastAsia="宋体" w:cs="Times New Roman"/>
                <w:bCs/>
                <w:color w:val="000000"/>
                <w:kern w:val="0"/>
                <w:sz w:val="18"/>
                <w:szCs w:val="18"/>
              </w:rPr>
              <w:t>纳入碳排放核算的贷款月均融资余额</w:t>
            </w:r>
          </w:p>
        </w:tc>
        <w:tc>
          <w:tcPr>
            <w:tcW w:w="818" w:type="pct"/>
            <w:tcBorders>
              <w:top w:val="single" w:sz="4" w:space="0" w:color="000000"/>
              <w:left w:val="single" w:sz="4" w:space="0" w:color="000000"/>
              <w:bottom w:val="single" w:sz="4" w:space="0" w:color="000000"/>
              <w:right w:val="single" w:sz="4" w:space="0" w:color="000000"/>
            </w:tcBorders>
            <w:vAlign w:val="center"/>
          </w:tcPr>
          <w:p w:rsidR="00EE0247" w:rsidRDefault="007240D0">
            <w:pPr>
              <w:widowControl/>
              <w:spacing w:line="240" w:lineRule="auto"/>
              <w:ind w:firstLineChars="0" w:firstLine="0"/>
              <w:jc w:val="center"/>
              <w:rPr>
                <w:rFonts w:eastAsia="宋体" w:cs="Times New Roman"/>
                <w:bCs/>
                <w:kern w:val="0"/>
                <w:sz w:val="18"/>
                <w:szCs w:val="18"/>
              </w:rPr>
            </w:pPr>
            <w:r>
              <w:rPr>
                <w:rFonts w:eastAsia="宋体" w:cs="Times New Roman"/>
                <w:bCs/>
                <w:kern w:val="0"/>
                <w:sz w:val="18"/>
                <w:szCs w:val="18"/>
              </w:rPr>
              <w:t>万元</w:t>
            </w:r>
          </w:p>
        </w:tc>
        <w:tc>
          <w:tcPr>
            <w:tcW w:w="852" w:type="pct"/>
            <w:tcBorders>
              <w:top w:val="single" w:sz="4" w:space="0" w:color="000000"/>
              <w:left w:val="single" w:sz="4" w:space="0" w:color="000000"/>
              <w:bottom w:val="single" w:sz="4" w:space="0" w:color="000000"/>
              <w:right w:val="single" w:sz="4" w:space="0" w:color="000000"/>
            </w:tcBorders>
            <w:vAlign w:val="bottom"/>
          </w:tcPr>
          <w:p w:rsidR="00EE0247" w:rsidRDefault="007240D0">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0</w:t>
            </w:r>
          </w:p>
        </w:tc>
      </w:tr>
      <w:tr w:rsidR="00EE0247">
        <w:trPr>
          <w:trHeight w:val="437"/>
        </w:trPr>
        <w:tc>
          <w:tcPr>
            <w:tcW w:w="1177" w:type="pct"/>
            <w:vMerge/>
            <w:tcBorders>
              <w:top w:val="single" w:sz="4" w:space="0" w:color="000000"/>
              <w:left w:val="single" w:sz="4" w:space="0" w:color="000000"/>
              <w:bottom w:val="single" w:sz="4" w:space="0" w:color="000000"/>
              <w:right w:val="single" w:sz="4" w:space="0" w:color="000000"/>
            </w:tcBorders>
            <w:noWrap/>
            <w:vAlign w:val="center"/>
          </w:tcPr>
          <w:p w:rsidR="00EE0247" w:rsidRDefault="007240D0">
            <w:pPr>
              <w:widowControl/>
              <w:spacing w:line="240" w:lineRule="auto"/>
              <w:ind w:firstLineChars="0" w:firstLine="0"/>
              <w:jc w:val="center"/>
              <w:rPr>
                <w:rFonts w:eastAsia="宋体" w:cs="Times New Roman"/>
                <w:bCs/>
                <w:color w:val="000000" w:themeColor="text1"/>
                <w:kern w:val="0"/>
                <w:sz w:val="18"/>
                <w:szCs w:val="18"/>
              </w:rPr>
            </w:pPr>
            <w:r>
              <w:rPr>
                <w:rFonts w:eastAsia="宋体" w:cs="Times New Roman"/>
                <w:bCs/>
                <w:color w:val="000000"/>
                <w:kern w:val="0"/>
                <w:sz w:val="18"/>
                <w:szCs w:val="18"/>
              </w:rPr>
              <w:t>项目贷款</w:t>
            </w:r>
          </w:p>
        </w:tc>
        <w:tc>
          <w:tcPr>
            <w:tcW w:w="2150" w:type="pct"/>
            <w:tcBorders>
              <w:top w:val="single" w:sz="4" w:space="0" w:color="000000"/>
              <w:left w:val="single" w:sz="4" w:space="0" w:color="000000"/>
              <w:bottom w:val="single" w:sz="4" w:space="0" w:color="000000"/>
              <w:right w:val="single" w:sz="4" w:space="0" w:color="000000"/>
            </w:tcBorders>
            <w:vAlign w:val="center"/>
          </w:tcPr>
          <w:p w:rsidR="00EE0247" w:rsidRDefault="007240D0">
            <w:pPr>
              <w:widowControl/>
              <w:spacing w:line="240" w:lineRule="auto"/>
              <w:ind w:firstLine="360"/>
              <w:jc w:val="center"/>
              <w:rPr>
                <w:rFonts w:eastAsia="宋体" w:cs="Times New Roman"/>
                <w:bCs/>
                <w:color w:val="000000" w:themeColor="text1"/>
                <w:kern w:val="0"/>
                <w:sz w:val="18"/>
                <w:szCs w:val="18"/>
              </w:rPr>
            </w:pPr>
            <w:r>
              <w:rPr>
                <w:rFonts w:eastAsia="宋体" w:cs="Times New Roman"/>
                <w:bCs/>
                <w:color w:val="000000"/>
                <w:kern w:val="0"/>
                <w:sz w:val="18"/>
                <w:szCs w:val="18"/>
              </w:rPr>
              <w:t>投融资碳排放强度</w:t>
            </w:r>
          </w:p>
        </w:tc>
        <w:tc>
          <w:tcPr>
            <w:tcW w:w="818" w:type="pct"/>
            <w:tcBorders>
              <w:top w:val="single" w:sz="4" w:space="0" w:color="000000"/>
              <w:left w:val="single" w:sz="4" w:space="0" w:color="000000"/>
              <w:bottom w:val="single" w:sz="4" w:space="0" w:color="000000"/>
              <w:right w:val="single" w:sz="4" w:space="0" w:color="000000"/>
            </w:tcBorders>
            <w:vAlign w:val="center"/>
          </w:tcPr>
          <w:p w:rsidR="00EE0247" w:rsidRDefault="007240D0">
            <w:pPr>
              <w:widowControl/>
              <w:spacing w:line="240" w:lineRule="auto"/>
              <w:ind w:firstLineChars="0" w:firstLine="0"/>
              <w:jc w:val="center"/>
              <w:rPr>
                <w:rFonts w:eastAsia="宋体" w:cs="Times New Roman"/>
                <w:bCs/>
                <w:kern w:val="0"/>
                <w:sz w:val="18"/>
                <w:szCs w:val="18"/>
              </w:rPr>
            </w:pPr>
            <w:r>
              <w:rPr>
                <w:rFonts w:eastAsia="宋体" w:cs="Times New Roman"/>
                <w:bCs/>
                <w:kern w:val="0"/>
                <w:sz w:val="18"/>
                <w:szCs w:val="18"/>
              </w:rPr>
              <w:t>tCO</w:t>
            </w:r>
            <w:r>
              <w:rPr>
                <w:rFonts w:eastAsia="宋体" w:cs="Times New Roman"/>
                <w:bCs/>
                <w:kern w:val="0"/>
                <w:sz w:val="18"/>
                <w:szCs w:val="18"/>
                <w:vertAlign w:val="subscript"/>
              </w:rPr>
              <w:t>2</w:t>
            </w:r>
            <w:r>
              <w:rPr>
                <w:rFonts w:eastAsia="宋体" w:cs="Times New Roman"/>
                <w:bCs/>
                <w:kern w:val="0"/>
                <w:sz w:val="18"/>
                <w:szCs w:val="18"/>
              </w:rPr>
              <w:t>e/</w:t>
            </w:r>
            <w:r>
              <w:rPr>
                <w:rFonts w:eastAsia="宋体" w:cs="Times New Roman"/>
                <w:bCs/>
                <w:kern w:val="0"/>
                <w:sz w:val="18"/>
                <w:szCs w:val="18"/>
              </w:rPr>
              <w:t>万元</w:t>
            </w:r>
          </w:p>
        </w:tc>
        <w:tc>
          <w:tcPr>
            <w:tcW w:w="852" w:type="pct"/>
            <w:tcBorders>
              <w:top w:val="single" w:sz="4" w:space="0" w:color="000000"/>
              <w:left w:val="single" w:sz="4" w:space="0" w:color="000000"/>
              <w:bottom w:val="single" w:sz="4" w:space="0" w:color="000000"/>
              <w:right w:val="single" w:sz="4" w:space="0" w:color="000000"/>
            </w:tcBorders>
            <w:shd w:val="clear" w:color="auto" w:fill="auto"/>
            <w:vAlign w:val="bottom"/>
          </w:tcPr>
          <w:p w:rsidR="00EE0247" w:rsidRDefault="007240D0">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0</w:t>
            </w:r>
          </w:p>
        </w:tc>
      </w:tr>
      <w:tr w:rsidR="00EE0247">
        <w:trPr>
          <w:trHeight w:val="437"/>
        </w:trPr>
        <w:tc>
          <w:tcPr>
            <w:tcW w:w="1177" w:type="pct"/>
            <w:vMerge w:val="restart"/>
            <w:tcBorders>
              <w:top w:val="single" w:sz="4" w:space="0" w:color="000000"/>
              <w:left w:val="single" w:sz="4" w:space="0" w:color="000000"/>
              <w:bottom w:val="single" w:sz="4" w:space="0" w:color="000000"/>
              <w:right w:val="single" w:sz="4" w:space="0" w:color="000000"/>
            </w:tcBorders>
            <w:noWrap/>
            <w:vAlign w:val="center"/>
          </w:tcPr>
          <w:p w:rsidR="00EE0247" w:rsidRDefault="007240D0">
            <w:pPr>
              <w:widowControl/>
              <w:spacing w:line="240" w:lineRule="auto"/>
              <w:ind w:firstLineChars="0" w:firstLine="0"/>
              <w:jc w:val="center"/>
              <w:rPr>
                <w:rFonts w:eastAsia="宋体" w:cs="Times New Roman"/>
                <w:bCs/>
                <w:color w:val="000000" w:themeColor="text1"/>
                <w:kern w:val="0"/>
                <w:sz w:val="18"/>
                <w:szCs w:val="18"/>
              </w:rPr>
            </w:pPr>
            <w:r>
              <w:rPr>
                <w:rFonts w:eastAsia="宋体" w:cs="Times New Roman"/>
                <w:bCs/>
                <w:color w:val="000000"/>
                <w:kern w:val="0"/>
                <w:sz w:val="18"/>
                <w:szCs w:val="18"/>
              </w:rPr>
              <w:t>非项目贷款</w:t>
            </w:r>
          </w:p>
        </w:tc>
        <w:tc>
          <w:tcPr>
            <w:tcW w:w="2150" w:type="pct"/>
            <w:tcBorders>
              <w:top w:val="single" w:sz="4" w:space="0" w:color="000000"/>
              <w:left w:val="single" w:sz="4" w:space="0" w:color="000000"/>
              <w:bottom w:val="single" w:sz="4" w:space="0" w:color="000000"/>
              <w:right w:val="single" w:sz="4" w:space="0" w:color="000000"/>
            </w:tcBorders>
            <w:vAlign w:val="center"/>
          </w:tcPr>
          <w:p w:rsidR="00EE0247" w:rsidRDefault="007240D0">
            <w:pPr>
              <w:widowControl/>
              <w:spacing w:line="240" w:lineRule="auto"/>
              <w:ind w:firstLine="360"/>
              <w:jc w:val="center"/>
              <w:rPr>
                <w:rFonts w:eastAsia="宋体" w:cs="Times New Roman"/>
                <w:bCs/>
                <w:color w:val="000000" w:themeColor="text1"/>
                <w:kern w:val="0"/>
                <w:sz w:val="18"/>
                <w:szCs w:val="18"/>
              </w:rPr>
            </w:pPr>
            <w:r>
              <w:rPr>
                <w:rFonts w:eastAsia="宋体" w:cs="Times New Roman"/>
                <w:bCs/>
                <w:color w:val="000000"/>
                <w:kern w:val="0"/>
                <w:sz w:val="18"/>
                <w:szCs w:val="18"/>
              </w:rPr>
              <w:t>投融资碳排放量</w:t>
            </w:r>
          </w:p>
        </w:tc>
        <w:tc>
          <w:tcPr>
            <w:tcW w:w="818" w:type="pct"/>
            <w:tcBorders>
              <w:top w:val="single" w:sz="4" w:space="0" w:color="000000"/>
              <w:left w:val="single" w:sz="4" w:space="0" w:color="000000"/>
              <w:bottom w:val="single" w:sz="4" w:space="0" w:color="000000"/>
              <w:right w:val="single" w:sz="4" w:space="0" w:color="000000"/>
            </w:tcBorders>
            <w:vAlign w:val="center"/>
          </w:tcPr>
          <w:p w:rsidR="00EE0247" w:rsidRDefault="007240D0">
            <w:pPr>
              <w:widowControl/>
              <w:spacing w:line="240" w:lineRule="auto"/>
              <w:ind w:firstLineChars="0" w:firstLine="0"/>
              <w:jc w:val="center"/>
              <w:rPr>
                <w:rFonts w:eastAsia="宋体" w:cs="Times New Roman"/>
                <w:bCs/>
                <w:kern w:val="0"/>
                <w:sz w:val="18"/>
                <w:szCs w:val="18"/>
              </w:rPr>
            </w:pPr>
            <w:r>
              <w:rPr>
                <w:rFonts w:eastAsia="宋体" w:cs="Times New Roman"/>
                <w:bCs/>
                <w:kern w:val="0"/>
                <w:sz w:val="18"/>
                <w:szCs w:val="18"/>
              </w:rPr>
              <w:t>tCO</w:t>
            </w:r>
            <w:r>
              <w:rPr>
                <w:rFonts w:eastAsia="宋体" w:cs="Times New Roman"/>
                <w:bCs/>
                <w:kern w:val="0"/>
                <w:sz w:val="18"/>
                <w:szCs w:val="18"/>
                <w:vertAlign w:val="subscript"/>
              </w:rPr>
              <w:t>2</w:t>
            </w:r>
            <w:r>
              <w:rPr>
                <w:rFonts w:eastAsia="宋体" w:cs="Times New Roman"/>
                <w:bCs/>
                <w:kern w:val="0"/>
                <w:sz w:val="18"/>
                <w:szCs w:val="18"/>
              </w:rPr>
              <w:t>e</w:t>
            </w:r>
          </w:p>
        </w:tc>
        <w:tc>
          <w:tcPr>
            <w:tcW w:w="852" w:type="pct"/>
            <w:tcBorders>
              <w:top w:val="single" w:sz="4" w:space="0" w:color="000000"/>
              <w:left w:val="single" w:sz="4" w:space="0" w:color="000000"/>
              <w:bottom w:val="single" w:sz="4" w:space="0" w:color="000000"/>
              <w:right w:val="single" w:sz="4" w:space="0" w:color="000000"/>
            </w:tcBorders>
            <w:vAlign w:val="bottom"/>
          </w:tcPr>
          <w:p w:rsidR="00EE0247" w:rsidRDefault="007240D0">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 xml:space="preserve">121218.23 </w:t>
            </w:r>
          </w:p>
        </w:tc>
      </w:tr>
      <w:tr w:rsidR="00EE0247">
        <w:trPr>
          <w:trHeight w:val="437"/>
        </w:trPr>
        <w:tc>
          <w:tcPr>
            <w:tcW w:w="1177" w:type="pct"/>
            <w:vMerge/>
            <w:tcBorders>
              <w:top w:val="single" w:sz="4" w:space="0" w:color="000000"/>
              <w:left w:val="single" w:sz="4" w:space="0" w:color="000000"/>
              <w:bottom w:val="single" w:sz="4" w:space="0" w:color="000000"/>
              <w:right w:val="single" w:sz="4" w:space="0" w:color="000000"/>
            </w:tcBorders>
            <w:noWrap/>
            <w:vAlign w:val="center"/>
          </w:tcPr>
          <w:p w:rsidR="00EE0247" w:rsidRDefault="007240D0">
            <w:pPr>
              <w:widowControl/>
              <w:spacing w:line="240" w:lineRule="auto"/>
              <w:ind w:firstLineChars="0" w:firstLine="0"/>
              <w:jc w:val="center"/>
              <w:rPr>
                <w:rFonts w:eastAsia="宋体" w:cs="Times New Roman"/>
                <w:bCs/>
                <w:color w:val="000000" w:themeColor="text1"/>
                <w:kern w:val="0"/>
                <w:sz w:val="18"/>
                <w:szCs w:val="18"/>
              </w:rPr>
            </w:pPr>
            <w:r>
              <w:rPr>
                <w:rFonts w:eastAsia="宋体" w:cs="Times New Roman"/>
                <w:bCs/>
                <w:color w:val="000000"/>
                <w:kern w:val="0"/>
                <w:sz w:val="18"/>
                <w:szCs w:val="18"/>
              </w:rPr>
              <w:t>非项目贷款</w:t>
            </w:r>
          </w:p>
        </w:tc>
        <w:tc>
          <w:tcPr>
            <w:tcW w:w="2150" w:type="pct"/>
            <w:tcBorders>
              <w:top w:val="single" w:sz="4" w:space="0" w:color="000000"/>
              <w:left w:val="single" w:sz="4" w:space="0" w:color="000000"/>
              <w:bottom w:val="single" w:sz="4" w:space="0" w:color="000000"/>
              <w:right w:val="single" w:sz="4" w:space="0" w:color="000000"/>
            </w:tcBorders>
            <w:vAlign w:val="center"/>
          </w:tcPr>
          <w:p w:rsidR="00EE0247" w:rsidRDefault="007240D0">
            <w:pPr>
              <w:widowControl/>
              <w:spacing w:line="240" w:lineRule="auto"/>
              <w:ind w:firstLine="360"/>
              <w:jc w:val="center"/>
              <w:rPr>
                <w:rFonts w:eastAsia="宋体" w:cs="Times New Roman"/>
                <w:bCs/>
                <w:color w:val="000000" w:themeColor="text1"/>
                <w:kern w:val="0"/>
                <w:sz w:val="18"/>
                <w:szCs w:val="18"/>
              </w:rPr>
            </w:pPr>
            <w:r>
              <w:rPr>
                <w:rFonts w:eastAsia="宋体" w:cs="Times New Roman"/>
                <w:bCs/>
                <w:color w:val="000000"/>
                <w:kern w:val="0"/>
                <w:sz w:val="18"/>
                <w:szCs w:val="18"/>
              </w:rPr>
              <w:t>纳入碳排放核算的贷款月均融资余额</w:t>
            </w:r>
          </w:p>
        </w:tc>
        <w:tc>
          <w:tcPr>
            <w:tcW w:w="818" w:type="pct"/>
            <w:tcBorders>
              <w:top w:val="single" w:sz="4" w:space="0" w:color="000000"/>
              <w:left w:val="single" w:sz="4" w:space="0" w:color="000000"/>
              <w:bottom w:val="single" w:sz="4" w:space="0" w:color="000000"/>
              <w:right w:val="single" w:sz="4" w:space="0" w:color="000000"/>
            </w:tcBorders>
            <w:vAlign w:val="center"/>
          </w:tcPr>
          <w:p w:rsidR="00EE0247" w:rsidRDefault="007240D0">
            <w:pPr>
              <w:widowControl/>
              <w:spacing w:line="240" w:lineRule="auto"/>
              <w:ind w:firstLineChars="0" w:firstLine="0"/>
              <w:jc w:val="center"/>
              <w:rPr>
                <w:rFonts w:eastAsia="宋体" w:cs="Times New Roman"/>
                <w:bCs/>
                <w:color w:val="000000" w:themeColor="text1"/>
                <w:kern w:val="0"/>
                <w:sz w:val="18"/>
                <w:szCs w:val="18"/>
              </w:rPr>
            </w:pPr>
            <w:r>
              <w:rPr>
                <w:rFonts w:eastAsia="宋体" w:cs="Times New Roman"/>
                <w:bCs/>
                <w:color w:val="000000"/>
                <w:kern w:val="0"/>
                <w:sz w:val="18"/>
                <w:szCs w:val="18"/>
              </w:rPr>
              <w:t>万元</w:t>
            </w:r>
          </w:p>
        </w:tc>
        <w:tc>
          <w:tcPr>
            <w:tcW w:w="852" w:type="pct"/>
            <w:tcBorders>
              <w:top w:val="single" w:sz="4" w:space="0" w:color="000000"/>
              <w:left w:val="single" w:sz="4" w:space="0" w:color="000000"/>
              <w:bottom w:val="single" w:sz="4" w:space="0" w:color="000000"/>
              <w:right w:val="single" w:sz="4" w:space="0" w:color="000000"/>
            </w:tcBorders>
            <w:vAlign w:val="bottom"/>
          </w:tcPr>
          <w:p w:rsidR="00EE0247" w:rsidRDefault="007240D0">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 xml:space="preserve">658565.96 </w:t>
            </w:r>
          </w:p>
        </w:tc>
      </w:tr>
      <w:tr w:rsidR="00EE0247">
        <w:trPr>
          <w:trHeight w:val="437"/>
        </w:trPr>
        <w:tc>
          <w:tcPr>
            <w:tcW w:w="1177" w:type="pct"/>
            <w:vMerge/>
            <w:tcBorders>
              <w:top w:val="single" w:sz="4" w:space="0" w:color="000000"/>
              <w:left w:val="single" w:sz="4" w:space="0" w:color="000000"/>
              <w:bottom w:val="single" w:sz="4" w:space="0" w:color="000000"/>
              <w:right w:val="single" w:sz="4" w:space="0" w:color="000000"/>
            </w:tcBorders>
            <w:noWrap/>
            <w:vAlign w:val="center"/>
          </w:tcPr>
          <w:p w:rsidR="00EE0247" w:rsidRDefault="007240D0">
            <w:pPr>
              <w:widowControl/>
              <w:spacing w:line="240" w:lineRule="auto"/>
              <w:ind w:firstLineChars="0" w:firstLine="0"/>
              <w:jc w:val="center"/>
              <w:rPr>
                <w:rFonts w:eastAsia="宋体" w:cs="Times New Roman"/>
                <w:bCs/>
                <w:color w:val="000000" w:themeColor="text1"/>
                <w:kern w:val="0"/>
                <w:sz w:val="18"/>
                <w:szCs w:val="18"/>
              </w:rPr>
            </w:pPr>
            <w:r>
              <w:rPr>
                <w:rFonts w:eastAsia="宋体" w:cs="Times New Roman"/>
                <w:bCs/>
                <w:color w:val="000000"/>
                <w:kern w:val="0"/>
                <w:sz w:val="18"/>
                <w:szCs w:val="18"/>
              </w:rPr>
              <w:t>非项目贷款</w:t>
            </w:r>
          </w:p>
        </w:tc>
        <w:tc>
          <w:tcPr>
            <w:tcW w:w="2150" w:type="pct"/>
            <w:tcBorders>
              <w:top w:val="single" w:sz="4" w:space="0" w:color="000000"/>
              <w:left w:val="single" w:sz="4" w:space="0" w:color="000000"/>
              <w:bottom w:val="single" w:sz="4" w:space="0" w:color="000000"/>
              <w:right w:val="single" w:sz="4" w:space="0" w:color="000000"/>
            </w:tcBorders>
            <w:vAlign w:val="center"/>
          </w:tcPr>
          <w:p w:rsidR="00EE0247" w:rsidRDefault="007240D0">
            <w:pPr>
              <w:widowControl/>
              <w:spacing w:line="240" w:lineRule="auto"/>
              <w:ind w:firstLine="360"/>
              <w:jc w:val="center"/>
              <w:rPr>
                <w:rFonts w:eastAsia="宋体" w:cs="Times New Roman"/>
                <w:bCs/>
                <w:color w:val="000000" w:themeColor="text1"/>
                <w:kern w:val="0"/>
                <w:sz w:val="18"/>
                <w:szCs w:val="18"/>
              </w:rPr>
            </w:pPr>
            <w:r>
              <w:rPr>
                <w:rFonts w:eastAsia="宋体" w:cs="Times New Roman"/>
                <w:bCs/>
                <w:color w:val="000000"/>
                <w:kern w:val="0"/>
                <w:sz w:val="18"/>
                <w:szCs w:val="18"/>
              </w:rPr>
              <w:t>投融资碳排放强度</w:t>
            </w:r>
          </w:p>
        </w:tc>
        <w:tc>
          <w:tcPr>
            <w:tcW w:w="818" w:type="pct"/>
            <w:tcBorders>
              <w:top w:val="single" w:sz="4" w:space="0" w:color="000000"/>
              <w:left w:val="single" w:sz="4" w:space="0" w:color="000000"/>
              <w:bottom w:val="single" w:sz="4" w:space="0" w:color="000000"/>
              <w:right w:val="single" w:sz="4" w:space="0" w:color="000000"/>
            </w:tcBorders>
            <w:vAlign w:val="center"/>
          </w:tcPr>
          <w:p w:rsidR="00EE0247" w:rsidRDefault="007240D0">
            <w:pPr>
              <w:widowControl/>
              <w:spacing w:line="240" w:lineRule="auto"/>
              <w:ind w:firstLineChars="0" w:firstLine="0"/>
              <w:jc w:val="center"/>
              <w:rPr>
                <w:rFonts w:eastAsia="宋体" w:cs="Times New Roman"/>
                <w:bCs/>
                <w:color w:val="000000" w:themeColor="text1"/>
                <w:kern w:val="0"/>
                <w:sz w:val="18"/>
                <w:szCs w:val="18"/>
              </w:rPr>
            </w:pPr>
            <w:r>
              <w:rPr>
                <w:rFonts w:eastAsia="宋体" w:cs="Times New Roman"/>
                <w:bCs/>
                <w:color w:val="000000"/>
                <w:kern w:val="0"/>
                <w:sz w:val="18"/>
                <w:szCs w:val="18"/>
              </w:rPr>
              <w:t>tCO</w:t>
            </w:r>
            <w:r>
              <w:rPr>
                <w:rFonts w:eastAsia="宋体" w:cs="Times New Roman"/>
                <w:bCs/>
                <w:color w:val="000000"/>
                <w:kern w:val="0"/>
                <w:sz w:val="18"/>
                <w:szCs w:val="18"/>
                <w:vertAlign w:val="subscript"/>
              </w:rPr>
              <w:t>2</w:t>
            </w:r>
            <w:r>
              <w:rPr>
                <w:rFonts w:eastAsia="宋体" w:cs="Times New Roman"/>
                <w:bCs/>
                <w:color w:val="000000"/>
                <w:kern w:val="0"/>
                <w:sz w:val="18"/>
                <w:szCs w:val="18"/>
              </w:rPr>
              <w:t>e/</w:t>
            </w:r>
            <w:r>
              <w:rPr>
                <w:rFonts w:eastAsia="宋体" w:cs="Times New Roman"/>
                <w:bCs/>
                <w:color w:val="000000"/>
                <w:kern w:val="0"/>
                <w:sz w:val="18"/>
                <w:szCs w:val="18"/>
              </w:rPr>
              <w:t>万元</w:t>
            </w:r>
          </w:p>
        </w:tc>
        <w:tc>
          <w:tcPr>
            <w:tcW w:w="852" w:type="pct"/>
            <w:tcBorders>
              <w:top w:val="single" w:sz="4" w:space="0" w:color="000000"/>
              <w:left w:val="single" w:sz="4" w:space="0" w:color="000000"/>
              <w:bottom w:val="single" w:sz="4" w:space="0" w:color="000000"/>
              <w:right w:val="single" w:sz="4" w:space="0" w:color="000000"/>
            </w:tcBorders>
            <w:vAlign w:val="bottom"/>
          </w:tcPr>
          <w:p w:rsidR="00EE0247" w:rsidRDefault="007240D0">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 xml:space="preserve">0.1841 </w:t>
            </w:r>
          </w:p>
        </w:tc>
      </w:tr>
      <w:tr w:rsidR="00EE0247">
        <w:trPr>
          <w:trHeight w:val="437"/>
        </w:trPr>
        <w:tc>
          <w:tcPr>
            <w:tcW w:w="1177" w:type="pct"/>
            <w:vMerge w:val="restart"/>
            <w:tcBorders>
              <w:top w:val="single" w:sz="4" w:space="0" w:color="000000"/>
              <w:left w:val="single" w:sz="4" w:space="0" w:color="000000"/>
              <w:bottom w:val="single" w:sz="4" w:space="0" w:color="000000"/>
              <w:right w:val="single" w:sz="4" w:space="0" w:color="000000"/>
            </w:tcBorders>
            <w:noWrap/>
            <w:vAlign w:val="center"/>
          </w:tcPr>
          <w:p w:rsidR="00EE0247" w:rsidRDefault="007240D0">
            <w:pPr>
              <w:widowControl/>
              <w:spacing w:line="240" w:lineRule="auto"/>
              <w:ind w:firstLineChars="0" w:firstLine="0"/>
              <w:jc w:val="center"/>
              <w:rPr>
                <w:rFonts w:eastAsia="宋体" w:cs="Times New Roman"/>
                <w:bCs/>
                <w:color w:val="000000" w:themeColor="text1"/>
                <w:kern w:val="0"/>
                <w:sz w:val="18"/>
                <w:szCs w:val="18"/>
              </w:rPr>
            </w:pPr>
            <w:r>
              <w:rPr>
                <w:rFonts w:eastAsia="宋体" w:cs="Times New Roman"/>
                <w:bCs/>
                <w:color w:val="000000"/>
                <w:kern w:val="0"/>
                <w:sz w:val="18"/>
                <w:szCs w:val="18"/>
              </w:rPr>
              <w:t>合计（信贷资产）</w:t>
            </w:r>
          </w:p>
        </w:tc>
        <w:tc>
          <w:tcPr>
            <w:tcW w:w="2150" w:type="pct"/>
            <w:tcBorders>
              <w:top w:val="single" w:sz="4" w:space="0" w:color="000000"/>
              <w:left w:val="single" w:sz="4" w:space="0" w:color="000000"/>
              <w:bottom w:val="single" w:sz="4" w:space="0" w:color="000000"/>
              <w:right w:val="single" w:sz="4" w:space="0" w:color="000000"/>
            </w:tcBorders>
            <w:vAlign w:val="center"/>
          </w:tcPr>
          <w:p w:rsidR="00EE0247" w:rsidRDefault="007240D0">
            <w:pPr>
              <w:widowControl/>
              <w:spacing w:line="240" w:lineRule="auto"/>
              <w:ind w:firstLine="360"/>
              <w:jc w:val="center"/>
              <w:rPr>
                <w:rFonts w:eastAsia="宋体" w:cs="Times New Roman"/>
                <w:bCs/>
                <w:color w:val="000000" w:themeColor="text1"/>
                <w:kern w:val="0"/>
                <w:sz w:val="18"/>
                <w:szCs w:val="18"/>
              </w:rPr>
            </w:pPr>
            <w:r>
              <w:rPr>
                <w:rFonts w:eastAsia="宋体" w:cs="Times New Roman"/>
                <w:bCs/>
                <w:color w:val="000000"/>
                <w:kern w:val="0"/>
                <w:sz w:val="18"/>
                <w:szCs w:val="18"/>
              </w:rPr>
              <w:t>投融资碳排放量</w:t>
            </w:r>
          </w:p>
        </w:tc>
        <w:tc>
          <w:tcPr>
            <w:tcW w:w="818" w:type="pct"/>
            <w:tcBorders>
              <w:top w:val="single" w:sz="4" w:space="0" w:color="000000"/>
              <w:left w:val="single" w:sz="4" w:space="0" w:color="000000"/>
              <w:bottom w:val="single" w:sz="4" w:space="0" w:color="000000"/>
              <w:right w:val="single" w:sz="4" w:space="0" w:color="000000"/>
            </w:tcBorders>
            <w:vAlign w:val="center"/>
          </w:tcPr>
          <w:p w:rsidR="00EE0247" w:rsidRDefault="007240D0">
            <w:pPr>
              <w:widowControl/>
              <w:spacing w:line="240" w:lineRule="auto"/>
              <w:ind w:firstLineChars="0" w:firstLine="0"/>
              <w:jc w:val="center"/>
              <w:rPr>
                <w:rFonts w:eastAsia="宋体" w:cs="Times New Roman"/>
                <w:bCs/>
                <w:color w:val="000000" w:themeColor="text1"/>
                <w:kern w:val="0"/>
                <w:sz w:val="18"/>
                <w:szCs w:val="18"/>
              </w:rPr>
            </w:pPr>
            <w:r>
              <w:rPr>
                <w:rFonts w:eastAsia="宋体" w:cs="Times New Roman"/>
                <w:bCs/>
                <w:color w:val="000000"/>
                <w:kern w:val="0"/>
                <w:sz w:val="18"/>
                <w:szCs w:val="18"/>
              </w:rPr>
              <w:t>tCO</w:t>
            </w:r>
            <w:r>
              <w:rPr>
                <w:rFonts w:eastAsia="宋体" w:cs="Times New Roman"/>
                <w:bCs/>
                <w:color w:val="000000"/>
                <w:kern w:val="0"/>
                <w:sz w:val="18"/>
                <w:szCs w:val="18"/>
                <w:vertAlign w:val="subscript"/>
              </w:rPr>
              <w:t>2</w:t>
            </w:r>
            <w:r>
              <w:rPr>
                <w:rFonts w:eastAsia="宋体" w:cs="Times New Roman"/>
                <w:bCs/>
                <w:color w:val="000000"/>
                <w:kern w:val="0"/>
                <w:sz w:val="18"/>
                <w:szCs w:val="18"/>
              </w:rPr>
              <w:t>e</w:t>
            </w:r>
          </w:p>
        </w:tc>
        <w:tc>
          <w:tcPr>
            <w:tcW w:w="852" w:type="pct"/>
            <w:tcBorders>
              <w:top w:val="single" w:sz="4" w:space="0" w:color="000000"/>
              <w:left w:val="single" w:sz="4" w:space="0" w:color="000000"/>
              <w:bottom w:val="single" w:sz="4" w:space="0" w:color="000000"/>
              <w:right w:val="single" w:sz="4" w:space="0" w:color="000000"/>
            </w:tcBorders>
            <w:shd w:val="clear" w:color="auto" w:fill="auto"/>
            <w:vAlign w:val="bottom"/>
          </w:tcPr>
          <w:p w:rsidR="00EE0247" w:rsidRDefault="007240D0">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 xml:space="preserve">121218.23 </w:t>
            </w:r>
          </w:p>
        </w:tc>
      </w:tr>
      <w:tr w:rsidR="00EE0247">
        <w:trPr>
          <w:trHeight w:val="437"/>
        </w:trPr>
        <w:tc>
          <w:tcPr>
            <w:tcW w:w="1177" w:type="pct"/>
            <w:vMerge/>
            <w:tcBorders>
              <w:top w:val="single" w:sz="4" w:space="0" w:color="000000"/>
              <w:left w:val="single" w:sz="4" w:space="0" w:color="000000"/>
              <w:bottom w:val="single" w:sz="4" w:space="0" w:color="000000"/>
              <w:right w:val="single" w:sz="4" w:space="0" w:color="000000"/>
            </w:tcBorders>
            <w:noWrap/>
            <w:vAlign w:val="center"/>
          </w:tcPr>
          <w:p w:rsidR="00EE0247" w:rsidRDefault="007240D0">
            <w:pPr>
              <w:widowControl/>
              <w:spacing w:line="240" w:lineRule="auto"/>
              <w:ind w:firstLineChars="0" w:firstLine="0"/>
              <w:jc w:val="center"/>
              <w:rPr>
                <w:rFonts w:eastAsia="宋体" w:cs="Times New Roman"/>
                <w:bCs/>
                <w:color w:val="000000" w:themeColor="text1"/>
                <w:kern w:val="0"/>
                <w:sz w:val="18"/>
                <w:szCs w:val="18"/>
              </w:rPr>
            </w:pPr>
            <w:r>
              <w:rPr>
                <w:rFonts w:eastAsia="宋体" w:cs="Times New Roman"/>
                <w:bCs/>
                <w:color w:val="000000"/>
                <w:kern w:val="0"/>
                <w:sz w:val="18"/>
                <w:szCs w:val="18"/>
              </w:rPr>
              <w:t>合计（信贷资产）</w:t>
            </w:r>
          </w:p>
        </w:tc>
        <w:tc>
          <w:tcPr>
            <w:tcW w:w="2150" w:type="pct"/>
            <w:tcBorders>
              <w:top w:val="single" w:sz="4" w:space="0" w:color="000000"/>
              <w:left w:val="single" w:sz="4" w:space="0" w:color="000000"/>
              <w:bottom w:val="single" w:sz="4" w:space="0" w:color="000000"/>
              <w:right w:val="single" w:sz="4" w:space="0" w:color="000000"/>
            </w:tcBorders>
            <w:vAlign w:val="center"/>
          </w:tcPr>
          <w:p w:rsidR="00EE0247" w:rsidRDefault="007240D0">
            <w:pPr>
              <w:widowControl/>
              <w:spacing w:line="240" w:lineRule="auto"/>
              <w:ind w:firstLine="360"/>
              <w:jc w:val="center"/>
              <w:rPr>
                <w:rFonts w:eastAsia="宋体" w:cs="Times New Roman"/>
                <w:bCs/>
                <w:color w:val="000000" w:themeColor="text1"/>
                <w:kern w:val="0"/>
                <w:sz w:val="18"/>
                <w:szCs w:val="18"/>
              </w:rPr>
            </w:pPr>
            <w:r>
              <w:rPr>
                <w:rFonts w:eastAsia="宋体" w:cs="Times New Roman"/>
                <w:bCs/>
                <w:color w:val="000000"/>
                <w:kern w:val="0"/>
                <w:sz w:val="18"/>
                <w:szCs w:val="18"/>
              </w:rPr>
              <w:t>纳入碳排放核算的贷款月均融资余额</w:t>
            </w:r>
          </w:p>
        </w:tc>
        <w:tc>
          <w:tcPr>
            <w:tcW w:w="818" w:type="pct"/>
            <w:tcBorders>
              <w:top w:val="single" w:sz="4" w:space="0" w:color="000000"/>
              <w:left w:val="single" w:sz="4" w:space="0" w:color="000000"/>
              <w:bottom w:val="single" w:sz="4" w:space="0" w:color="000000"/>
              <w:right w:val="single" w:sz="4" w:space="0" w:color="000000"/>
            </w:tcBorders>
            <w:vAlign w:val="center"/>
          </w:tcPr>
          <w:p w:rsidR="00EE0247" w:rsidRDefault="007240D0">
            <w:pPr>
              <w:widowControl/>
              <w:spacing w:line="240" w:lineRule="auto"/>
              <w:ind w:firstLineChars="0" w:firstLine="0"/>
              <w:jc w:val="center"/>
              <w:rPr>
                <w:rFonts w:eastAsia="宋体" w:cs="Times New Roman"/>
                <w:bCs/>
                <w:color w:val="000000" w:themeColor="text1"/>
                <w:kern w:val="0"/>
                <w:sz w:val="18"/>
                <w:szCs w:val="18"/>
              </w:rPr>
            </w:pPr>
            <w:r>
              <w:rPr>
                <w:rFonts w:eastAsia="宋体" w:cs="Times New Roman"/>
                <w:bCs/>
                <w:color w:val="000000"/>
                <w:kern w:val="0"/>
                <w:sz w:val="18"/>
                <w:szCs w:val="18"/>
              </w:rPr>
              <w:t>万元</w:t>
            </w:r>
          </w:p>
        </w:tc>
        <w:tc>
          <w:tcPr>
            <w:tcW w:w="852" w:type="pct"/>
            <w:tcBorders>
              <w:top w:val="single" w:sz="4" w:space="0" w:color="000000"/>
              <w:left w:val="single" w:sz="4" w:space="0" w:color="000000"/>
              <w:bottom w:val="single" w:sz="4" w:space="0" w:color="000000"/>
              <w:right w:val="single" w:sz="4" w:space="0" w:color="000000"/>
            </w:tcBorders>
            <w:shd w:val="clear" w:color="auto" w:fill="auto"/>
            <w:vAlign w:val="bottom"/>
          </w:tcPr>
          <w:p w:rsidR="00EE0247" w:rsidRDefault="007240D0">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 xml:space="preserve">658565.96 </w:t>
            </w:r>
          </w:p>
        </w:tc>
      </w:tr>
      <w:tr w:rsidR="00EE0247">
        <w:trPr>
          <w:trHeight w:val="437"/>
        </w:trPr>
        <w:tc>
          <w:tcPr>
            <w:tcW w:w="1177" w:type="pct"/>
            <w:vMerge/>
            <w:tcBorders>
              <w:top w:val="single" w:sz="4" w:space="0" w:color="000000"/>
              <w:left w:val="single" w:sz="4" w:space="0" w:color="000000"/>
              <w:bottom w:val="single" w:sz="4" w:space="0" w:color="000000"/>
              <w:right w:val="single" w:sz="4" w:space="0" w:color="000000"/>
            </w:tcBorders>
            <w:noWrap/>
            <w:vAlign w:val="center"/>
          </w:tcPr>
          <w:p w:rsidR="00EE0247" w:rsidRDefault="007240D0">
            <w:pPr>
              <w:widowControl/>
              <w:spacing w:line="240" w:lineRule="auto"/>
              <w:ind w:firstLineChars="0" w:firstLine="0"/>
              <w:jc w:val="center"/>
              <w:rPr>
                <w:rFonts w:eastAsia="宋体" w:cs="Times New Roman"/>
                <w:bCs/>
                <w:color w:val="000000" w:themeColor="text1"/>
                <w:kern w:val="0"/>
                <w:sz w:val="18"/>
                <w:szCs w:val="18"/>
              </w:rPr>
            </w:pPr>
            <w:r>
              <w:rPr>
                <w:rFonts w:eastAsia="宋体" w:cs="Times New Roman"/>
                <w:bCs/>
                <w:color w:val="000000"/>
                <w:kern w:val="0"/>
                <w:sz w:val="18"/>
                <w:szCs w:val="18"/>
              </w:rPr>
              <w:t>合计（信贷资产）</w:t>
            </w:r>
          </w:p>
        </w:tc>
        <w:tc>
          <w:tcPr>
            <w:tcW w:w="2150" w:type="pct"/>
            <w:tcBorders>
              <w:top w:val="single" w:sz="4" w:space="0" w:color="000000"/>
              <w:left w:val="single" w:sz="4" w:space="0" w:color="000000"/>
              <w:bottom w:val="single" w:sz="4" w:space="0" w:color="000000"/>
              <w:right w:val="single" w:sz="4" w:space="0" w:color="000000"/>
            </w:tcBorders>
            <w:vAlign w:val="center"/>
          </w:tcPr>
          <w:p w:rsidR="00EE0247" w:rsidRDefault="007240D0">
            <w:pPr>
              <w:widowControl/>
              <w:spacing w:line="240" w:lineRule="auto"/>
              <w:ind w:firstLine="360"/>
              <w:jc w:val="center"/>
              <w:rPr>
                <w:rFonts w:eastAsia="宋体" w:cs="Times New Roman"/>
                <w:bCs/>
                <w:color w:val="000000" w:themeColor="text1"/>
                <w:kern w:val="0"/>
                <w:sz w:val="18"/>
                <w:szCs w:val="18"/>
              </w:rPr>
            </w:pPr>
            <w:r>
              <w:rPr>
                <w:rFonts w:eastAsia="宋体" w:cs="Times New Roman"/>
                <w:bCs/>
                <w:color w:val="000000"/>
                <w:kern w:val="0"/>
                <w:sz w:val="18"/>
                <w:szCs w:val="18"/>
              </w:rPr>
              <w:t>投融资碳排放强度</w:t>
            </w:r>
          </w:p>
        </w:tc>
        <w:tc>
          <w:tcPr>
            <w:tcW w:w="818" w:type="pct"/>
            <w:tcBorders>
              <w:top w:val="single" w:sz="4" w:space="0" w:color="000000"/>
              <w:left w:val="single" w:sz="4" w:space="0" w:color="000000"/>
              <w:bottom w:val="single" w:sz="4" w:space="0" w:color="000000"/>
              <w:right w:val="single" w:sz="4" w:space="0" w:color="000000"/>
            </w:tcBorders>
            <w:vAlign w:val="center"/>
          </w:tcPr>
          <w:p w:rsidR="00EE0247" w:rsidRDefault="007240D0">
            <w:pPr>
              <w:widowControl/>
              <w:spacing w:line="240" w:lineRule="auto"/>
              <w:ind w:firstLineChars="0" w:firstLine="0"/>
              <w:jc w:val="center"/>
              <w:rPr>
                <w:rFonts w:eastAsia="宋体" w:cs="Times New Roman"/>
                <w:bCs/>
                <w:color w:val="000000" w:themeColor="text1"/>
                <w:kern w:val="0"/>
                <w:sz w:val="18"/>
                <w:szCs w:val="18"/>
              </w:rPr>
            </w:pPr>
            <w:r>
              <w:rPr>
                <w:rFonts w:eastAsia="宋体" w:cs="Times New Roman"/>
                <w:bCs/>
                <w:color w:val="000000"/>
                <w:kern w:val="0"/>
                <w:sz w:val="18"/>
                <w:szCs w:val="18"/>
              </w:rPr>
              <w:t>tCO</w:t>
            </w:r>
            <w:r>
              <w:rPr>
                <w:rFonts w:eastAsia="宋体" w:cs="Times New Roman"/>
                <w:bCs/>
                <w:color w:val="000000"/>
                <w:kern w:val="0"/>
                <w:sz w:val="18"/>
                <w:szCs w:val="18"/>
                <w:vertAlign w:val="subscript"/>
              </w:rPr>
              <w:t>2</w:t>
            </w:r>
            <w:r>
              <w:rPr>
                <w:rFonts w:eastAsia="宋体" w:cs="Times New Roman"/>
                <w:bCs/>
                <w:color w:val="000000"/>
                <w:kern w:val="0"/>
                <w:sz w:val="18"/>
                <w:szCs w:val="18"/>
              </w:rPr>
              <w:t>e/</w:t>
            </w:r>
            <w:r>
              <w:rPr>
                <w:rFonts w:eastAsia="宋体" w:cs="Times New Roman"/>
                <w:bCs/>
                <w:color w:val="000000"/>
                <w:kern w:val="0"/>
                <w:sz w:val="18"/>
                <w:szCs w:val="18"/>
              </w:rPr>
              <w:t>万元</w:t>
            </w:r>
          </w:p>
        </w:tc>
        <w:tc>
          <w:tcPr>
            <w:tcW w:w="852" w:type="pct"/>
            <w:tcBorders>
              <w:top w:val="single" w:sz="4" w:space="0" w:color="000000"/>
              <w:left w:val="single" w:sz="4" w:space="0" w:color="000000"/>
              <w:bottom w:val="single" w:sz="4" w:space="0" w:color="000000"/>
              <w:right w:val="single" w:sz="4" w:space="0" w:color="000000"/>
            </w:tcBorders>
            <w:shd w:val="clear" w:color="auto" w:fill="auto"/>
            <w:vAlign w:val="bottom"/>
          </w:tcPr>
          <w:p w:rsidR="00EE0247" w:rsidRDefault="007240D0">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 xml:space="preserve">0.1841 </w:t>
            </w:r>
          </w:p>
        </w:tc>
      </w:tr>
    </w:tbl>
    <w:p w:rsidR="00C3082E" w:rsidRDefault="00C3082E">
      <w:pPr>
        <w:pStyle w:val="2"/>
        <w:rPr>
          <w:rFonts w:ascii="Times New Roman" w:hAnsi="Times New Roman" w:hint="default"/>
        </w:rPr>
      </w:pPr>
    </w:p>
    <w:p w:rsidR="00EE0247" w:rsidRDefault="007240D0">
      <w:pPr>
        <w:pStyle w:val="2"/>
        <w:rPr>
          <w:rFonts w:ascii="Times New Roman" w:hAnsi="Times New Roman" w:hint="default"/>
        </w:rPr>
      </w:pPr>
      <w:bookmarkStart w:id="30" w:name="_Toc206595329"/>
      <w:r>
        <w:rPr>
          <w:rFonts w:ascii="Times New Roman" w:hAnsi="Times New Roman" w:hint="default"/>
        </w:rPr>
        <w:lastRenderedPageBreak/>
        <w:t xml:space="preserve">7.2 </w:t>
      </w:r>
      <w:r>
        <w:rPr>
          <w:rFonts w:ascii="Times New Roman" w:hAnsi="Times New Roman" w:hint="default"/>
        </w:rPr>
        <w:t>债券资产</w:t>
      </w:r>
      <w:bookmarkEnd w:id="30"/>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报告年度内本行没有应纳入投融资活动碳排放核算的债券业务。</w:t>
      </w:r>
    </w:p>
    <w:p w:rsidR="00EE0247" w:rsidRDefault="007240D0">
      <w:pPr>
        <w:pStyle w:val="2"/>
        <w:rPr>
          <w:rFonts w:ascii="Times New Roman" w:hAnsi="Times New Roman" w:hint="default"/>
        </w:rPr>
      </w:pPr>
      <w:bookmarkStart w:id="31" w:name="_Toc206595330"/>
      <w:r>
        <w:rPr>
          <w:rFonts w:ascii="Times New Roman" w:hAnsi="Times New Roman" w:hint="default"/>
        </w:rPr>
        <w:t xml:space="preserve">7.3 </w:t>
      </w:r>
      <w:r>
        <w:rPr>
          <w:rFonts w:ascii="Times New Roman" w:hAnsi="Times New Roman" w:hint="default"/>
        </w:rPr>
        <w:t>高碳行业</w:t>
      </w:r>
      <w:bookmarkEnd w:id="31"/>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报告年度内本行实际核算的八大高碳行业投融资碳排放合计为</w:t>
      </w:r>
      <w:r>
        <w:rPr>
          <w:rFonts w:eastAsia="仿宋" w:cs="Times New Roman"/>
          <w:bCs/>
          <w:snapToGrid w:val="0"/>
          <w:color w:val="000000" w:themeColor="text1"/>
          <w:spacing w:val="6"/>
          <w:kern w:val="0"/>
          <w:sz w:val="24"/>
          <w:szCs w:val="24"/>
          <w:u w:val="single"/>
        </w:rPr>
        <w:t xml:space="preserve"> </w:t>
      </w:r>
      <w:r>
        <w:rPr>
          <w:rFonts w:eastAsia="仿宋" w:cs="Times New Roman"/>
          <w:color w:val="000000"/>
          <w:spacing w:val="6"/>
          <w:sz w:val="24"/>
          <w:u w:val="single"/>
        </w:rPr>
        <w:t xml:space="preserve">317.06 </w:t>
      </w:r>
      <w:r>
        <w:rPr>
          <w:rFonts w:eastAsia="仿宋" w:cs="Times New Roman"/>
          <w:bCs/>
          <w:snapToGrid w:val="0"/>
          <w:color w:val="000000" w:themeColor="text1"/>
          <w:spacing w:val="6"/>
          <w:kern w:val="0"/>
          <w:sz w:val="24"/>
          <w:szCs w:val="24"/>
        </w:rPr>
        <w:t>tCO</w:t>
      </w:r>
      <w:r>
        <w:rPr>
          <w:rFonts w:eastAsia="仿宋" w:cs="Times New Roman"/>
          <w:bCs/>
          <w:snapToGrid w:val="0"/>
          <w:color w:val="000000" w:themeColor="text1"/>
          <w:spacing w:val="6"/>
          <w:kern w:val="0"/>
          <w:sz w:val="24"/>
          <w:szCs w:val="24"/>
          <w:vertAlign w:val="subscript"/>
        </w:rPr>
        <w:t>2</w:t>
      </w:r>
      <w:r>
        <w:rPr>
          <w:rFonts w:eastAsia="仿宋" w:cs="Times New Roman"/>
          <w:bCs/>
          <w:snapToGrid w:val="0"/>
          <w:color w:val="000000" w:themeColor="text1"/>
          <w:spacing w:val="6"/>
          <w:kern w:val="0"/>
          <w:sz w:val="24"/>
          <w:szCs w:val="24"/>
        </w:rPr>
        <w:t>e</w:t>
      </w:r>
      <w:r>
        <w:rPr>
          <w:rFonts w:eastAsia="仿宋" w:cs="Times New Roman"/>
          <w:bCs/>
          <w:snapToGrid w:val="0"/>
          <w:color w:val="000000" w:themeColor="text1"/>
          <w:spacing w:val="6"/>
          <w:kern w:val="0"/>
          <w:sz w:val="24"/>
          <w:szCs w:val="24"/>
        </w:rPr>
        <w:t>。其中，钢铁行业产生的碳排放</w:t>
      </w:r>
      <w:r>
        <w:rPr>
          <w:rFonts w:eastAsia="仿宋" w:cs="Times New Roman"/>
          <w:bCs/>
          <w:snapToGrid w:val="0"/>
          <w:color w:val="000000" w:themeColor="text1"/>
          <w:spacing w:val="6"/>
          <w:kern w:val="0"/>
          <w:sz w:val="24"/>
          <w:szCs w:val="24"/>
          <w:u w:val="single"/>
        </w:rPr>
        <w:t xml:space="preserve"> </w:t>
      </w:r>
      <w:r>
        <w:rPr>
          <w:rFonts w:eastAsia="仿宋" w:cs="Times New Roman"/>
          <w:color w:val="000000"/>
          <w:spacing w:val="6"/>
          <w:sz w:val="24"/>
          <w:u w:val="single"/>
        </w:rPr>
        <w:t xml:space="preserve">103.42 </w:t>
      </w:r>
      <w:r>
        <w:rPr>
          <w:rFonts w:eastAsia="仿宋" w:cs="Times New Roman"/>
          <w:bCs/>
          <w:snapToGrid w:val="0"/>
          <w:color w:val="000000" w:themeColor="text1"/>
          <w:spacing w:val="6"/>
          <w:kern w:val="0"/>
          <w:sz w:val="24"/>
          <w:szCs w:val="24"/>
        </w:rPr>
        <w:t>tCO</w:t>
      </w:r>
      <w:r>
        <w:rPr>
          <w:rFonts w:eastAsia="仿宋" w:cs="Times New Roman"/>
          <w:bCs/>
          <w:snapToGrid w:val="0"/>
          <w:color w:val="000000" w:themeColor="text1"/>
          <w:spacing w:val="6"/>
          <w:kern w:val="0"/>
          <w:sz w:val="24"/>
          <w:szCs w:val="24"/>
          <w:vertAlign w:val="subscript"/>
        </w:rPr>
        <w:t>2</w:t>
      </w:r>
      <w:r>
        <w:rPr>
          <w:rFonts w:eastAsia="仿宋" w:cs="Times New Roman"/>
          <w:bCs/>
          <w:snapToGrid w:val="0"/>
          <w:color w:val="000000" w:themeColor="text1"/>
          <w:spacing w:val="6"/>
          <w:kern w:val="0"/>
          <w:sz w:val="24"/>
          <w:szCs w:val="24"/>
        </w:rPr>
        <w:t>e</w:t>
      </w:r>
      <w:r>
        <w:rPr>
          <w:rFonts w:eastAsia="仿宋" w:cs="Times New Roman"/>
          <w:bCs/>
          <w:snapToGrid w:val="0"/>
          <w:color w:val="000000" w:themeColor="text1"/>
          <w:spacing w:val="6"/>
          <w:kern w:val="0"/>
          <w:sz w:val="24"/>
          <w:szCs w:val="24"/>
        </w:rPr>
        <w:t>，建材行业产生的碳排放</w:t>
      </w:r>
      <w:r>
        <w:rPr>
          <w:rFonts w:eastAsia="仿宋" w:cs="Times New Roman"/>
          <w:bCs/>
          <w:snapToGrid w:val="0"/>
          <w:color w:val="000000" w:themeColor="text1"/>
          <w:spacing w:val="6"/>
          <w:kern w:val="0"/>
          <w:sz w:val="24"/>
          <w:szCs w:val="24"/>
          <w:u w:val="single"/>
        </w:rPr>
        <w:t xml:space="preserve"> </w:t>
      </w:r>
      <w:r>
        <w:rPr>
          <w:rFonts w:eastAsia="仿宋" w:cs="Times New Roman"/>
          <w:color w:val="000000"/>
          <w:spacing w:val="6"/>
          <w:sz w:val="24"/>
          <w:u w:val="single"/>
        </w:rPr>
        <w:t xml:space="preserve">154.54 </w:t>
      </w:r>
      <w:r>
        <w:rPr>
          <w:rFonts w:eastAsia="仿宋" w:cs="Times New Roman"/>
          <w:bCs/>
          <w:snapToGrid w:val="0"/>
          <w:color w:val="000000" w:themeColor="text1"/>
          <w:spacing w:val="6"/>
          <w:kern w:val="0"/>
          <w:sz w:val="24"/>
          <w:szCs w:val="24"/>
        </w:rPr>
        <w:t>tCO</w:t>
      </w:r>
      <w:r>
        <w:rPr>
          <w:rFonts w:eastAsia="仿宋" w:cs="Times New Roman"/>
          <w:bCs/>
          <w:snapToGrid w:val="0"/>
          <w:color w:val="000000" w:themeColor="text1"/>
          <w:spacing w:val="6"/>
          <w:kern w:val="0"/>
          <w:sz w:val="24"/>
          <w:szCs w:val="24"/>
          <w:vertAlign w:val="subscript"/>
        </w:rPr>
        <w:t>2</w:t>
      </w:r>
      <w:r>
        <w:rPr>
          <w:rFonts w:eastAsia="仿宋" w:cs="Times New Roman"/>
          <w:bCs/>
          <w:snapToGrid w:val="0"/>
          <w:color w:val="000000" w:themeColor="text1"/>
          <w:spacing w:val="6"/>
          <w:kern w:val="0"/>
          <w:sz w:val="24"/>
          <w:szCs w:val="24"/>
        </w:rPr>
        <w:t>e</w:t>
      </w:r>
      <w:r>
        <w:rPr>
          <w:rFonts w:eastAsia="仿宋" w:cs="Times New Roman"/>
          <w:bCs/>
          <w:snapToGrid w:val="0"/>
          <w:color w:val="000000" w:themeColor="text1"/>
          <w:spacing w:val="6"/>
          <w:kern w:val="0"/>
          <w:sz w:val="24"/>
          <w:szCs w:val="24"/>
        </w:rPr>
        <w:t>，化工行业产生的碳排放</w:t>
      </w:r>
      <w:r>
        <w:rPr>
          <w:rFonts w:eastAsia="仿宋" w:cs="Times New Roman"/>
          <w:bCs/>
          <w:snapToGrid w:val="0"/>
          <w:color w:val="000000" w:themeColor="text1"/>
          <w:spacing w:val="6"/>
          <w:kern w:val="0"/>
          <w:sz w:val="24"/>
          <w:szCs w:val="24"/>
          <w:u w:val="single"/>
        </w:rPr>
        <w:t xml:space="preserve"> </w:t>
      </w:r>
      <w:r>
        <w:rPr>
          <w:rFonts w:eastAsia="仿宋" w:cs="Times New Roman"/>
          <w:color w:val="000000"/>
          <w:spacing w:val="6"/>
          <w:sz w:val="24"/>
          <w:u w:val="single"/>
        </w:rPr>
        <w:t xml:space="preserve">59.10 </w:t>
      </w:r>
      <w:r>
        <w:rPr>
          <w:rFonts w:eastAsia="仿宋" w:cs="Times New Roman"/>
          <w:bCs/>
          <w:snapToGrid w:val="0"/>
          <w:color w:val="000000" w:themeColor="text1"/>
          <w:spacing w:val="6"/>
          <w:kern w:val="0"/>
          <w:sz w:val="24"/>
          <w:szCs w:val="24"/>
        </w:rPr>
        <w:t>tCO</w:t>
      </w:r>
      <w:r>
        <w:rPr>
          <w:rFonts w:eastAsia="仿宋" w:cs="Times New Roman"/>
          <w:bCs/>
          <w:snapToGrid w:val="0"/>
          <w:color w:val="000000" w:themeColor="text1"/>
          <w:spacing w:val="6"/>
          <w:kern w:val="0"/>
          <w:sz w:val="24"/>
          <w:szCs w:val="24"/>
          <w:vertAlign w:val="subscript"/>
        </w:rPr>
        <w:t>2</w:t>
      </w:r>
      <w:r>
        <w:rPr>
          <w:rFonts w:eastAsia="仿宋" w:cs="Times New Roman"/>
          <w:bCs/>
          <w:snapToGrid w:val="0"/>
          <w:color w:val="000000" w:themeColor="text1"/>
          <w:spacing w:val="6"/>
          <w:kern w:val="0"/>
          <w:sz w:val="24"/>
          <w:szCs w:val="24"/>
        </w:rPr>
        <w:t>e</w:t>
      </w:r>
      <w:r>
        <w:rPr>
          <w:rFonts w:eastAsia="仿宋" w:cs="Times New Roman"/>
          <w:bCs/>
          <w:snapToGrid w:val="0"/>
          <w:color w:val="000000" w:themeColor="text1"/>
          <w:spacing w:val="6"/>
          <w:kern w:val="0"/>
          <w:sz w:val="24"/>
          <w:szCs w:val="24"/>
        </w:rPr>
        <w:t>。</w:t>
      </w:r>
    </w:p>
    <w:p w:rsidR="00EE0247" w:rsidRDefault="007240D0">
      <w:pPr>
        <w:widowControl/>
        <w:spacing w:line="240" w:lineRule="auto"/>
        <w:ind w:firstLineChars="0" w:firstLine="0"/>
        <w:jc w:val="center"/>
        <w:rPr>
          <w:rFonts w:eastAsia="宋体" w:cs="Times New Roman"/>
          <w:b/>
          <w:bCs/>
          <w:color w:val="000000" w:themeColor="text1"/>
          <w:kern w:val="0"/>
          <w:sz w:val="18"/>
          <w:szCs w:val="18"/>
        </w:rPr>
      </w:pPr>
      <w:r>
        <w:rPr>
          <w:rFonts w:eastAsia="宋体" w:cs="Times New Roman"/>
          <w:b/>
          <w:bCs/>
          <w:color w:val="000000" w:themeColor="text1"/>
          <w:kern w:val="0"/>
          <w:sz w:val="18"/>
          <w:szCs w:val="18"/>
        </w:rPr>
        <w:t>7-2</w:t>
      </w:r>
      <w:r>
        <w:rPr>
          <w:rFonts w:eastAsia="宋体" w:cs="Times New Roman"/>
          <w:b/>
          <w:bCs/>
          <w:color w:val="000000" w:themeColor="text1"/>
          <w:kern w:val="0"/>
          <w:sz w:val="18"/>
          <w:szCs w:val="18"/>
        </w:rPr>
        <w:t>投融资（八大高碳行业）碳排放</w:t>
      </w:r>
    </w:p>
    <w:tbl>
      <w:tblPr>
        <w:tblW w:w="4863" w:type="pct"/>
        <w:jc w:val="center"/>
        <w:tblLayout w:type="fixed"/>
        <w:tblLook w:val="04A0"/>
      </w:tblPr>
      <w:tblGrid>
        <w:gridCol w:w="3282"/>
        <w:gridCol w:w="4378"/>
        <w:gridCol w:w="3227"/>
        <w:gridCol w:w="3318"/>
      </w:tblGrid>
      <w:tr w:rsidR="00EE0247">
        <w:trPr>
          <w:trHeight w:val="289"/>
          <w:tblHeader/>
          <w:jc w:val="center"/>
        </w:trPr>
        <w:tc>
          <w:tcPr>
            <w:tcW w:w="1155" w:type="pct"/>
            <w:tcBorders>
              <w:top w:val="single" w:sz="4" w:space="0" w:color="000000"/>
              <w:left w:val="single" w:sz="4" w:space="0" w:color="000000"/>
              <w:bottom w:val="single" w:sz="4" w:space="0" w:color="000000"/>
              <w:right w:val="single" w:sz="4" w:space="0" w:color="000000"/>
            </w:tcBorders>
            <w:noWrap/>
            <w:vAlign w:val="center"/>
          </w:tcPr>
          <w:p w:rsidR="00EE0247" w:rsidRDefault="007240D0">
            <w:pPr>
              <w:widowControl/>
              <w:spacing w:line="240" w:lineRule="auto"/>
              <w:ind w:firstLineChars="0" w:firstLine="0"/>
              <w:jc w:val="center"/>
              <w:rPr>
                <w:rFonts w:eastAsia="宋体" w:cs="Times New Roman"/>
                <w:b/>
                <w:bCs/>
                <w:color w:val="000000" w:themeColor="text1"/>
                <w:kern w:val="0"/>
                <w:sz w:val="18"/>
                <w:szCs w:val="18"/>
              </w:rPr>
            </w:pPr>
            <w:r>
              <w:rPr>
                <w:rFonts w:eastAsia="宋体" w:cs="Times New Roman"/>
                <w:b/>
                <w:bCs/>
                <w:color w:val="000000" w:themeColor="text1"/>
                <w:kern w:val="0"/>
                <w:sz w:val="18"/>
                <w:szCs w:val="18"/>
              </w:rPr>
              <w:t>八大高碳行业</w:t>
            </w:r>
          </w:p>
        </w:tc>
        <w:tc>
          <w:tcPr>
            <w:tcW w:w="1541" w:type="pct"/>
            <w:tcBorders>
              <w:top w:val="single" w:sz="4" w:space="0" w:color="000000"/>
              <w:left w:val="single" w:sz="4" w:space="0" w:color="000000"/>
              <w:bottom w:val="single" w:sz="4" w:space="0" w:color="000000"/>
              <w:right w:val="single" w:sz="4" w:space="0" w:color="000000"/>
            </w:tcBorders>
            <w:noWrap/>
            <w:vAlign w:val="center"/>
          </w:tcPr>
          <w:p w:rsidR="00EE0247" w:rsidRDefault="007240D0">
            <w:pPr>
              <w:widowControl/>
              <w:spacing w:line="240" w:lineRule="auto"/>
              <w:ind w:firstLineChars="0" w:firstLine="0"/>
              <w:jc w:val="center"/>
              <w:rPr>
                <w:rFonts w:eastAsia="宋体" w:cs="Times New Roman"/>
                <w:b/>
                <w:bCs/>
                <w:color w:val="000000" w:themeColor="text1"/>
                <w:kern w:val="0"/>
                <w:sz w:val="18"/>
                <w:szCs w:val="18"/>
              </w:rPr>
            </w:pPr>
            <w:r>
              <w:rPr>
                <w:rFonts w:eastAsia="宋体" w:cs="Times New Roman"/>
                <w:b/>
                <w:bCs/>
                <w:color w:val="000000" w:themeColor="text1"/>
                <w:kern w:val="0"/>
                <w:sz w:val="18"/>
                <w:szCs w:val="18"/>
              </w:rPr>
              <w:t>贷款月均融资余额（万元）</w:t>
            </w:r>
          </w:p>
        </w:tc>
        <w:tc>
          <w:tcPr>
            <w:tcW w:w="1136" w:type="pct"/>
            <w:tcBorders>
              <w:top w:val="single" w:sz="4" w:space="0" w:color="000000"/>
              <w:left w:val="single" w:sz="4" w:space="0" w:color="000000"/>
              <w:bottom w:val="single" w:sz="4" w:space="0" w:color="000000"/>
              <w:right w:val="single" w:sz="4" w:space="0" w:color="000000"/>
            </w:tcBorders>
            <w:noWrap/>
            <w:vAlign w:val="center"/>
          </w:tcPr>
          <w:p w:rsidR="00EE0247" w:rsidRDefault="007240D0">
            <w:pPr>
              <w:widowControl/>
              <w:spacing w:line="240" w:lineRule="auto"/>
              <w:ind w:firstLineChars="0" w:firstLine="0"/>
              <w:jc w:val="center"/>
              <w:rPr>
                <w:rFonts w:eastAsia="宋体" w:cs="Times New Roman"/>
                <w:b/>
                <w:bCs/>
                <w:color w:val="000000" w:themeColor="text1"/>
                <w:kern w:val="0"/>
                <w:sz w:val="18"/>
                <w:szCs w:val="18"/>
              </w:rPr>
            </w:pPr>
            <w:r>
              <w:rPr>
                <w:rFonts w:eastAsia="宋体" w:cs="Times New Roman"/>
                <w:b/>
                <w:bCs/>
                <w:color w:val="000000" w:themeColor="text1"/>
                <w:kern w:val="0"/>
                <w:sz w:val="18"/>
                <w:szCs w:val="18"/>
              </w:rPr>
              <w:t>贷款碳排放量（</w:t>
            </w:r>
            <w:r>
              <w:rPr>
                <w:rFonts w:eastAsia="仿宋" w:cs="Times New Roman"/>
                <w:snapToGrid w:val="0"/>
                <w:color w:val="000000" w:themeColor="text1"/>
                <w:spacing w:val="6"/>
                <w:kern w:val="0"/>
                <w:sz w:val="18"/>
                <w:szCs w:val="18"/>
              </w:rPr>
              <w:t>tCO</w:t>
            </w:r>
            <w:r>
              <w:rPr>
                <w:rFonts w:eastAsia="仿宋" w:cs="Times New Roman"/>
                <w:snapToGrid w:val="0"/>
                <w:color w:val="000000" w:themeColor="text1"/>
                <w:spacing w:val="6"/>
                <w:kern w:val="0"/>
                <w:sz w:val="18"/>
                <w:szCs w:val="18"/>
                <w:vertAlign w:val="subscript"/>
              </w:rPr>
              <w:t>2</w:t>
            </w:r>
            <w:r>
              <w:rPr>
                <w:rFonts w:eastAsia="仿宋" w:cs="Times New Roman"/>
                <w:snapToGrid w:val="0"/>
                <w:color w:val="000000" w:themeColor="text1"/>
                <w:spacing w:val="6"/>
                <w:kern w:val="0"/>
                <w:sz w:val="18"/>
                <w:szCs w:val="18"/>
              </w:rPr>
              <w:t>e</w:t>
            </w:r>
            <w:r>
              <w:rPr>
                <w:rFonts w:eastAsia="宋体" w:cs="Times New Roman"/>
                <w:b/>
                <w:bCs/>
                <w:color w:val="000000" w:themeColor="text1"/>
                <w:kern w:val="0"/>
                <w:sz w:val="18"/>
                <w:szCs w:val="18"/>
              </w:rPr>
              <w:t>）</w:t>
            </w:r>
          </w:p>
        </w:tc>
        <w:tc>
          <w:tcPr>
            <w:tcW w:w="1168" w:type="pct"/>
            <w:tcBorders>
              <w:top w:val="single" w:sz="4" w:space="0" w:color="000000"/>
              <w:left w:val="single" w:sz="4" w:space="0" w:color="000000"/>
              <w:bottom w:val="single" w:sz="4" w:space="0" w:color="000000"/>
              <w:right w:val="single" w:sz="4" w:space="0" w:color="000000"/>
            </w:tcBorders>
            <w:noWrap/>
            <w:vAlign w:val="center"/>
          </w:tcPr>
          <w:p w:rsidR="00EE0247" w:rsidRDefault="007240D0">
            <w:pPr>
              <w:widowControl/>
              <w:spacing w:line="240" w:lineRule="auto"/>
              <w:ind w:firstLineChars="0" w:firstLine="0"/>
              <w:jc w:val="center"/>
              <w:rPr>
                <w:rFonts w:eastAsia="宋体" w:cs="Times New Roman"/>
                <w:b/>
                <w:bCs/>
                <w:color w:val="000000" w:themeColor="text1"/>
                <w:kern w:val="0"/>
                <w:sz w:val="18"/>
                <w:szCs w:val="18"/>
              </w:rPr>
            </w:pPr>
            <w:r>
              <w:rPr>
                <w:rFonts w:eastAsia="宋体" w:cs="Times New Roman"/>
                <w:b/>
                <w:bCs/>
                <w:color w:val="000000" w:themeColor="text1"/>
                <w:kern w:val="0"/>
                <w:sz w:val="18"/>
                <w:szCs w:val="18"/>
              </w:rPr>
              <w:t>碳排放强度</w:t>
            </w:r>
          </w:p>
          <w:p w:rsidR="00EE0247" w:rsidRDefault="007240D0">
            <w:pPr>
              <w:widowControl/>
              <w:spacing w:line="240" w:lineRule="auto"/>
              <w:ind w:firstLineChars="0" w:firstLine="0"/>
              <w:jc w:val="center"/>
              <w:rPr>
                <w:rFonts w:eastAsia="宋体" w:cs="Times New Roman"/>
                <w:b/>
                <w:bCs/>
                <w:color w:val="000000" w:themeColor="text1"/>
                <w:kern w:val="0"/>
                <w:sz w:val="18"/>
                <w:szCs w:val="18"/>
              </w:rPr>
            </w:pPr>
            <w:r>
              <w:rPr>
                <w:rFonts w:eastAsia="宋体" w:cs="Times New Roman"/>
                <w:b/>
                <w:bCs/>
                <w:color w:val="000000" w:themeColor="text1"/>
                <w:kern w:val="0"/>
                <w:sz w:val="18"/>
                <w:szCs w:val="18"/>
              </w:rPr>
              <w:t>（</w:t>
            </w:r>
            <w:r>
              <w:rPr>
                <w:rFonts w:eastAsia="仿宋" w:cs="Times New Roman"/>
                <w:snapToGrid w:val="0"/>
                <w:color w:val="000000" w:themeColor="text1"/>
                <w:spacing w:val="6"/>
                <w:kern w:val="0"/>
                <w:sz w:val="18"/>
                <w:szCs w:val="18"/>
              </w:rPr>
              <w:t>tCO</w:t>
            </w:r>
            <w:r>
              <w:rPr>
                <w:rFonts w:eastAsia="仿宋" w:cs="Times New Roman"/>
                <w:snapToGrid w:val="0"/>
                <w:color w:val="000000" w:themeColor="text1"/>
                <w:spacing w:val="6"/>
                <w:kern w:val="0"/>
                <w:sz w:val="18"/>
                <w:szCs w:val="18"/>
                <w:vertAlign w:val="subscript"/>
              </w:rPr>
              <w:t>2</w:t>
            </w:r>
            <w:r>
              <w:rPr>
                <w:rFonts w:eastAsia="仿宋" w:cs="Times New Roman"/>
                <w:snapToGrid w:val="0"/>
                <w:color w:val="000000" w:themeColor="text1"/>
                <w:spacing w:val="6"/>
                <w:kern w:val="0"/>
                <w:sz w:val="18"/>
                <w:szCs w:val="18"/>
              </w:rPr>
              <w:t>e</w:t>
            </w:r>
            <w:r>
              <w:rPr>
                <w:rFonts w:eastAsia="宋体" w:cs="Times New Roman"/>
                <w:b/>
                <w:bCs/>
                <w:color w:val="000000" w:themeColor="text1"/>
                <w:kern w:val="0"/>
                <w:sz w:val="18"/>
                <w:szCs w:val="18"/>
              </w:rPr>
              <w:t>/</w:t>
            </w:r>
            <w:r>
              <w:rPr>
                <w:rFonts w:eastAsia="宋体" w:cs="Times New Roman"/>
                <w:b/>
                <w:bCs/>
                <w:color w:val="000000" w:themeColor="text1"/>
                <w:kern w:val="0"/>
                <w:sz w:val="18"/>
                <w:szCs w:val="18"/>
              </w:rPr>
              <w:t>万元）</w:t>
            </w:r>
          </w:p>
        </w:tc>
      </w:tr>
      <w:tr w:rsidR="00EE0247">
        <w:trPr>
          <w:trHeight w:val="322"/>
          <w:jc w:val="center"/>
        </w:trPr>
        <w:tc>
          <w:tcPr>
            <w:tcW w:w="1155" w:type="pct"/>
            <w:tcBorders>
              <w:top w:val="single" w:sz="4" w:space="0" w:color="000000"/>
              <w:left w:val="single" w:sz="4" w:space="0" w:color="000000"/>
              <w:bottom w:val="single" w:sz="4" w:space="0" w:color="000000"/>
              <w:right w:val="single" w:sz="4" w:space="0" w:color="000000"/>
            </w:tcBorders>
            <w:noWrap/>
            <w:vAlign w:val="center"/>
          </w:tcPr>
          <w:p w:rsidR="00EE0247" w:rsidRDefault="007240D0">
            <w:pPr>
              <w:widowControl/>
              <w:spacing w:line="240" w:lineRule="auto"/>
              <w:ind w:firstLineChars="0" w:firstLine="0"/>
              <w:jc w:val="center"/>
              <w:rPr>
                <w:rFonts w:eastAsia="宋体" w:cs="Times New Roman"/>
                <w:color w:val="000000" w:themeColor="text1"/>
                <w:kern w:val="0"/>
                <w:sz w:val="18"/>
                <w:szCs w:val="18"/>
              </w:rPr>
            </w:pPr>
            <w:r>
              <w:rPr>
                <w:rFonts w:eastAsia="宋体" w:cs="Times New Roman"/>
                <w:color w:val="000000" w:themeColor="text1"/>
                <w:kern w:val="0"/>
                <w:sz w:val="18"/>
                <w:szCs w:val="18"/>
              </w:rPr>
              <w:t>发电</w:t>
            </w:r>
          </w:p>
        </w:tc>
        <w:tc>
          <w:tcPr>
            <w:tcW w:w="2866" w:type="dxa"/>
            <w:tcBorders>
              <w:top w:val="single" w:sz="4" w:space="0" w:color="000000"/>
              <w:left w:val="single" w:sz="4" w:space="0" w:color="000000"/>
              <w:bottom w:val="single" w:sz="4" w:space="0" w:color="000000"/>
              <w:right w:val="single" w:sz="4" w:space="0" w:color="000000"/>
            </w:tcBorders>
            <w:noWrap/>
            <w:vAlign w:val="bottom"/>
          </w:tcPr>
          <w:p w:rsidR="00EE0247" w:rsidRDefault="007240D0">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 xml:space="preserve">127.02 </w:t>
            </w:r>
          </w:p>
        </w:tc>
        <w:tc>
          <w:tcPr>
            <w:tcW w:w="2113" w:type="dxa"/>
            <w:tcBorders>
              <w:top w:val="single" w:sz="4" w:space="0" w:color="000000"/>
              <w:left w:val="single" w:sz="4" w:space="0" w:color="000000"/>
              <w:bottom w:val="single" w:sz="4" w:space="0" w:color="000000"/>
              <w:right w:val="single" w:sz="4" w:space="0" w:color="000000"/>
            </w:tcBorders>
            <w:noWrap/>
            <w:vAlign w:val="bottom"/>
          </w:tcPr>
          <w:p w:rsidR="00EE0247" w:rsidRDefault="007240D0">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 xml:space="preserve">0.00 </w:t>
            </w:r>
          </w:p>
        </w:tc>
        <w:tc>
          <w:tcPr>
            <w:tcW w:w="2172" w:type="dxa"/>
            <w:tcBorders>
              <w:top w:val="single" w:sz="4" w:space="0" w:color="000000"/>
              <w:left w:val="single" w:sz="4" w:space="0" w:color="000000"/>
              <w:bottom w:val="single" w:sz="4" w:space="0" w:color="000000"/>
              <w:right w:val="single" w:sz="4" w:space="0" w:color="000000"/>
            </w:tcBorders>
            <w:vAlign w:val="bottom"/>
          </w:tcPr>
          <w:p w:rsidR="00EE0247" w:rsidRDefault="007240D0">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 xml:space="preserve">0.0000 </w:t>
            </w:r>
          </w:p>
        </w:tc>
      </w:tr>
      <w:tr w:rsidR="00EE0247">
        <w:trPr>
          <w:trHeight w:val="322"/>
          <w:jc w:val="center"/>
        </w:trPr>
        <w:tc>
          <w:tcPr>
            <w:tcW w:w="1155" w:type="pct"/>
            <w:tcBorders>
              <w:top w:val="single" w:sz="4" w:space="0" w:color="000000"/>
              <w:left w:val="single" w:sz="4" w:space="0" w:color="000000"/>
              <w:bottom w:val="single" w:sz="4" w:space="0" w:color="000000"/>
              <w:right w:val="single" w:sz="4" w:space="0" w:color="000000"/>
            </w:tcBorders>
            <w:noWrap/>
            <w:vAlign w:val="center"/>
          </w:tcPr>
          <w:p w:rsidR="00EE0247" w:rsidRDefault="007240D0">
            <w:pPr>
              <w:widowControl/>
              <w:spacing w:line="240" w:lineRule="auto"/>
              <w:ind w:firstLineChars="0" w:firstLine="0"/>
              <w:jc w:val="center"/>
              <w:rPr>
                <w:rFonts w:eastAsia="宋体" w:cs="Times New Roman"/>
                <w:color w:val="000000" w:themeColor="text1"/>
                <w:kern w:val="0"/>
                <w:sz w:val="18"/>
                <w:szCs w:val="18"/>
              </w:rPr>
            </w:pPr>
            <w:r>
              <w:rPr>
                <w:rFonts w:eastAsia="宋体" w:cs="Times New Roman"/>
                <w:color w:val="000000" w:themeColor="text1"/>
                <w:kern w:val="0"/>
                <w:sz w:val="18"/>
                <w:szCs w:val="18"/>
              </w:rPr>
              <w:t>钢铁</w:t>
            </w:r>
          </w:p>
        </w:tc>
        <w:tc>
          <w:tcPr>
            <w:tcW w:w="2866" w:type="dxa"/>
            <w:tcBorders>
              <w:top w:val="single" w:sz="4" w:space="0" w:color="000000"/>
              <w:left w:val="single" w:sz="4" w:space="0" w:color="000000"/>
              <w:bottom w:val="single" w:sz="4" w:space="0" w:color="000000"/>
              <w:right w:val="single" w:sz="4" w:space="0" w:color="000000"/>
            </w:tcBorders>
            <w:noWrap/>
            <w:vAlign w:val="bottom"/>
          </w:tcPr>
          <w:p w:rsidR="00EE0247" w:rsidRDefault="007240D0">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 xml:space="preserve">1580.00 </w:t>
            </w:r>
          </w:p>
        </w:tc>
        <w:tc>
          <w:tcPr>
            <w:tcW w:w="2113" w:type="dxa"/>
            <w:tcBorders>
              <w:top w:val="single" w:sz="4" w:space="0" w:color="000000"/>
              <w:left w:val="single" w:sz="4" w:space="0" w:color="000000"/>
              <w:bottom w:val="single" w:sz="4" w:space="0" w:color="000000"/>
              <w:right w:val="single" w:sz="4" w:space="0" w:color="000000"/>
            </w:tcBorders>
            <w:noWrap/>
            <w:vAlign w:val="bottom"/>
          </w:tcPr>
          <w:p w:rsidR="00EE0247" w:rsidRDefault="007240D0">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 xml:space="preserve">103.42 </w:t>
            </w:r>
          </w:p>
        </w:tc>
        <w:tc>
          <w:tcPr>
            <w:tcW w:w="2172" w:type="dxa"/>
            <w:tcBorders>
              <w:top w:val="single" w:sz="4" w:space="0" w:color="000000"/>
              <w:left w:val="single" w:sz="4" w:space="0" w:color="000000"/>
              <w:bottom w:val="single" w:sz="4" w:space="0" w:color="000000"/>
              <w:right w:val="single" w:sz="4" w:space="0" w:color="000000"/>
            </w:tcBorders>
            <w:vAlign w:val="bottom"/>
          </w:tcPr>
          <w:p w:rsidR="00EE0247" w:rsidRDefault="007240D0">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 xml:space="preserve">0.0655 </w:t>
            </w:r>
          </w:p>
        </w:tc>
      </w:tr>
      <w:tr w:rsidR="00EE0247">
        <w:trPr>
          <w:trHeight w:val="322"/>
          <w:jc w:val="center"/>
        </w:trPr>
        <w:tc>
          <w:tcPr>
            <w:tcW w:w="1155" w:type="pct"/>
            <w:tcBorders>
              <w:top w:val="single" w:sz="4" w:space="0" w:color="000000"/>
              <w:left w:val="single" w:sz="4" w:space="0" w:color="000000"/>
              <w:bottom w:val="single" w:sz="4" w:space="0" w:color="000000"/>
              <w:right w:val="single" w:sz="4" w:space="0" w:color="000000"/>
            </w:tcBorders>
            <w:noWrap/>
            <w:vAlign w:val="center"/>
          </w:tcPr>
          <w:p w:rsidR="00EE0247" w:rsidRDefault="007240D0">
            <w:pPr>
              <w:widowControl/>
              <w:spacing w:line="240" w:lineRule="auto"/>
              <w:ind w:firstLineChars="0" w:firstLine="0"/>
              <w:jc w:val="center"/>
              <w:rPr>
                <w:rFonts w:eastAsia="宋体" w:cs="Times New Roman"/>
                <w:color w:val="000000" w:themeColor="text1"/>
                <w:kern w:val="0"/>
                <w:sz w:val="18"/>
                <w:szCs w:val="18"/>
              </w:rPr>
            </w:pPr>
            <w:r>
              <w:rPr>
                <w:rFonts w:eastAsia="宋体" w:cs="Times New Roman"/>
                <w:color w:val="000000" w:themeColor="text1"/>
                <w:kern w:val="0"/>
                <w:sz w:val="18"/>
                <w:szCs w:val="18"/>
              </w:rPr>
              <w:t>建材</w:t>
            </w:r>
          </w:p>
        </w:tc>
        <w:tc>
          <w:tcPr>
            <w:tcW w:w="2866" w:type="dxa"/>
            <w:tcBorders>
              <w:top w:val="single" w:sz="4" w:space="0" w:color="000000"/>
              <w:left w:val="single" w:sz="4" w:space="0" w:color="000000"/>
              <w:bottom w:val="single" w:sz="4" w:space="0" w:color="000000"/>
              <w:right w:val="single" w:sz="4" w:space="0" w:color="000000"/>
            </w:tcBorders>
            <w:noWrap/>
            <w:vAlign w:val="bottom"/>
          </w:tcPr>
          <w:p w:rsidR="00EE0247" w:rsidRDefault="007240D0">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 xml:space="preserve">2000.00 </w:t>
            </w:r>
          </w:p>
        </w:tc>
        <w:tc>
          <w:tcPr>
            <w:tcW w:w="2113" w:type="dxa"/>
            <w:tcBorders>
              <w:top w:val="single" w:sz="4" w:space="0" w:color="000000"/>
              <w:left w:val="single" w:sz="4" w:space="0" w:color="000000"/>
              <w:bottom w:val="single" w:sz="4" w:space="0" w:color="000000"/>
              <w:right w:val="single" w:sz="4" w:space="0" w:color="000000"/>
            </w:tcBorders>
            <w:noWrap/>
            <w:vAlign w:val="bottom"/>
          </w:tcPr>
          <w:p w:rsidR="00EE0247" w:rsidRDefault="007240D0">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 xml:space="preserve">154.54 </w:t>
            </w:r>
          </w:p>
        </w:tc>
        <w:tc>
          <w:tcPr>
            <w:tcW w:w="2172" w:type="dxa"/>
            <w:tcBorders>
              <w:top w:val="single" w:sz="4" w:space="0" w:color="000000"/>
              <w:left w:val="single" w:sz="4" w:space="0" w:color="000000"/>
              <w:bottom w:val="single" w:sz="4" w:space="0" w:color="000000"/>
              <w:right w:val="single" w:sz="4" w:space="0" w:color="000000"/>
            </w:tcBorders>
            <w:vAlign w:val="bottom"/>
          </w:tcPr>
          <w:p w:rsidR="00EE0247" w:rsidRDefault="007240D0">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 xml:space="preserve">0.0773 </w:t>
            </w:r>
          </w:p>
        </w:tc>
      </w:tr>
      <w:tr w:rsidR="00EE0247">
        <w:trPr>
          <w:trHeight w:val="322"/>
          <w:jc w:val="center"/>
        </w:trPr>
        <w:tc>
          <w:tcPr>
            <w:tcW w:w="1155" w:type="pct"/>
            <w:tcBorders>
              <w:top w:val="single" w:sz="4" w:space="0" w:color="000000"/>
              <w:left w:val="single" w:sz="4" w:space="0" w:color="000000"/>
              <w:bottom w:val="single" w:sz="4" w:space="0" w:color="000000"/>
              <w:right w:val="single" w:sz="4" w:space="0" w:color="000000"/>
            </w:tcBorders>
            <w:noWrap/>
            <w:vAlign w:val="center"/>
          </w:tcPr>
          <w:p w:rsidR="00EE0247" w:rsidRDefault="007240D0">
            <w:pPr>
              <w:widowControl/>
              <w:spacing w:line="240" w:lineRule="auto"/>
              <w:ind w:firstLineChars="0" w:firstLine="0"/>
              <w:jc w:val="center"/>
              <w:rPr>
                <w:rFonts w:eastAsia="宋体" w:cs="Times New Roman"/>
                <w:color w:val="000000" w:themeColor="text1"/>
                <w:kern w:val="0"/>
                <w:sz w:val="18"/>
                <w:szCs w:val="18"/>
              </w:rPr>
            </w:pPr>
            <w:r>
              <w:rPr>
                <w:rFonts w:eastAsia="宋体" w:cs="Times New Roman"/>
                <w:color w:val="000000" w:themeColor="text1"/>
                <w:kern w:val="0"/>
                <w:sz w:val="18"/>
                <w:szCs w:val="18"/>
              </w:rPr>
              <w:t>石化</w:t>
            </w:r>
          </w:p>
        </w:tc>
        <w:tc>
          <w:tcPr>
            <w:tcW w:w="2866" w:type="dxa"/>
            <w:tcBorders>
              <w:top w:val="single" w:sz="4" w:space="0" w:color="000000"/>
              <w:left w:val="single" w:sz="4" w:space="0" w:color="000000"/>
              <w:bottom w:val="single" w:sz="4" w:space="0" w:color="000000"/>
              <w:right w:val="single" w:sz="4" w:space="0" w:color="000000"/>
            </w:tcBorders>
            <w:noWrap/>
            <w:vAlign w:val="bottom"/>
          </w:tcPr>
          <w:p w:rsidR="00EE0247" w:rsidRDefault="007240D0">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 xml:space="preserve">0.00 </w:t>
            </w:r>
          </w:p>
        </w:tc>
        <w:tc>
          <w:tcPr>
            <w:tcW w:w="2113" w:type="dxa"/>
            <w:tcBorders>
              <w:top w:val="single" w:sz="4" w:space="0" w:color="000000"/>
              <w:left w:val="single" w:sz="4" w:space="0" w:color="000000"/>
              <w:bottom w:val="single" w:sz="4" w:space="0" w:color="000000"/>
              <w:right w:val="single" w:sz="4" w:space="0" w:color="000000"/>
            </w:tcBorders>
            <w:noWrap/>
            <w:vAlign w:val="bottom"/>
          </w:tcPr>
          <w:p w:rsidR="00EE0247" w:rsidRDefault="007240D0">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 xml:space="preserve">0.00 </w:t>
            </w:r>
          </w:p>
        </w:tc>
        <w:tc>
          <w:tcPr>
            <w:tcW w:w="2172" w:type="dxa"/>
            <w:tcBorders>
              <w:top w:val="single" w:sz="4" w:space="0" w:color="000000"/>
              <w:left w:val="single" w:sz="4" w:space="0" w:color="000000"/>
              <w:bottom w:val="single" w:sz="4" w:space="0" w:color="000000"/>
              <w:right w:val="single" w:sz="4" w:space="0" w:color="000000"/>
            </w:tcBorders>
            <w:vAlign w:val="bottom"/>
          </w:tcPr>
          <w:p w:rsidR="00EE0247" w:rsidRDefault="007240D0">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 xml:space="preserve">0.0000 </w:t>
            </w:r>
          </w:p>
        </w:tc>
      </w:tr>
      <w:tr w:rsidR="00EE0247">
        <w:trPr>
          <w:trHeight w:val="322"/>
          <w:jc w:val="center"/>
        </w:trPr>
        <w:tc>
          <w:tcPr>
            <w:tcW w:w="1155" w:type="pct"/>
            <w:tcBorders>
              <w:top w:val="single" w:sz="4" w:space="0" w:color="000000"/>
              <w:left w:val="single" w:sz="4" w:space="0" w:color="000000"/>
              <w:bottom w:val="single" w:sz="4" w:space="0" w:color="000000"/>
              <w:right w:val="single" w:sz="4" w:space="0" w:color="000000"/>
            </w:tcBorders>
            <w:noWrap/>
            <w:vAlign w:val="center"/>
          </w:tcPr>
          <w:p w:rsidR="00EE0247" w:rsidRDefault="007240D0">
            <w:pPr>
              <w:widowControl/>
              <w:spacing w:line="240" w:lineRule="auto"/>
              <w:ind w:firstLineChars="0" w:firstLine="0"/>
              <w:jc w:val="center"/>
              <w:rPr>
                <w:rFonts w:eastAsia="宋体" w:cs="Times New Roman"/>
                <w:color w:val="000000" w:themeColor="text1"/>
                <w:kern w:val="0"/>
                <w:sz w:val="18"/>
                <w:szCs w:val="18"/>
              </w:rPr>
            </w:pPr>
            <w:r>
              <w:rPr>
                <w:rFonts w:eastAsia="宋体" w:cs="Times New Roman"/>
                <w:color w:val="000000" w:themeColor="text1"/>
                <w:kern w:val="0"/>
                <w:sz w:val="18"/>
                <w:szCs w:val="18"/>
              </w:rPr>
              <w:t>化工</w:t>
            </w:r>
          </w:p>
        </w:tc>
        <w:tc>
          <w:tcPr>
            <w:tcW w:w="2866" w:type="dxa"/>
            <w:tcBorders>
              <w:top w:val="single" w:sz="4" w:space="0" w:color="000000"/>
              <w:left w:val="single" w:sz="4" w:space="0" w:color="000000"/>
              <w:bottom w:val="single" w:sz="4" w:space="0" w:color="000000"/>
              <w:right w:val="single" w:sz="4" w:space="0" w:color="000000"/>
            </w:tcBorders>
            <w:noWrap/>
            <w:vAlign w:val="bottom"/>
          </w:tcPr>
          <w:p w:rsidR="00EE0247" w:rsidRDefault="007240D0">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 xml:space="preserve">3585.68 </w:t>
            </w:r>
          </w:p>
        </w:tc>
        <w:tc>
          <w:tcPr>
            <w:tcW w:w="2113" w:type="dxa"/>
            <w:tcBorders>
              <w:top w:val="single" w:sz="4" w:space="0" w:color="000000"/>
              <w:left w:val="single" w:sz="4" w:space="0" w:color="000000"/>
              <w:bottom w:val="single" w:sz="4" w:space="0" w:color="000000"/>
              <w:right w:val="single" w:sz="4" w:space="0" w:color="000000"/>
            </w:tcBorders>
            <w:noWrap/>
            <w:vAlign w:val="bottom"/>
          </w:tcPr>
          <w:p w:rsidR="00EE0247" w:rsidRDefault="007240D0">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 xml:space="preserve">59.10 </w:t>
            </w:r>
          </w:p>
        </w:tc>
        <w:tc>
          <w:tcPr>
            <w:tcW w:w="2172" w:type="dxa"/>
            <w:tcBorders>
              <w:top w:val="single" w:sz="4" w:space="0" w:color="000000"/>
              <w:left w:val="single" w:sz="4" w:space="0" w:color="000000"/>
              <w:bottom w:val="single" w:sz="4" w:space="0" w:color="000000"/>
              <w:right w:val="single" w:sz="4" w:space="0" w:color="000000"/>
            </w:tcBorders>
            <w:vAlign w:val="bottom"/>
          </w:tcPr>
          <w:p w:rsidR="00EE0247" w:rsidRDefault="007240D0">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 xml:space="preserve">0.0165 </w:t>
            </w:r>
          </w:p>
        </w:tc>
      </w:tr>
      <w:tr w:rsidR="00EE0247">
        <w:trPr>
          <w:trHeight w:val="322"/>
          <w:jc w:val="center"/>
        </w:trPr>
        <w:tc>
          <w:tcPr>
            <w:tcW w:w="1155" w:type="pct"/>
            <w:tcBorders>
              <w:top w:val="single" w:sz="4" w:space="0" w:color="000000"/>
              <w:left w:val="single" w:sz="4" w:space="0" w:color="000000"/>
              <w:bottom w:val="single" w:sz="4" w:space="0" w:color="000000"/>
              <w:right w:val="single" w:sz="4" w:space="0" w:color="000000"/>
            </w:tcBorders>
            <w:noWrap/>
            <w:vAlign w:val="center"/>
          </w:tcPr>
          <w:p w:rsidR="00EE0247" w:rsidRDefault="007240D0">
            <w:pPr>
              <w:widowControl/>
              <w:spacing w:line="240" w:lineRule="auto"/>
              <w:ind w:firstLineChars="0" w:firstLine="0"/>
              <w:jc w:val="center"/>
              <w:rPr>
                <w:rFonts w:eastAsia="宋体" w:cs="Times New Roman"/>
                <w:color w:val="000000" w:themeColor="text1"/>
                <w:kern w:val="0"/>
                <w:sz w:val="18"/>
                <w:szCs w:val="18"/>
              </w:rPr>
            </w:pPr>
            <w:r>
              <w:rPr>
                <w:rFonts w:eastAsia="宋体" w:cs="Times New Roman"/>
                <w:color w:val="000000" w:themeColor="text1"/>
                <w:kern w:val="0"/>
                <w:sz w:val="18"/>
                <w:szCs w:val="18"/>
              </w:rPr>
              <w:t>有色</w:t>
            </w:r>
          </w:p>
        </w:tc>
        <w:tc>
          <w:tcPr>
            <w:tcW w:w="2866" w:type="dxa"/>
            <w:tcBorders>
              <w:top w:val="single" w:sz="4" w:space="0" w:color="000000"/>
              <w:left w:val="single" w:sz="4" w:space="0" w:color="000000"/>
              <w:bottom w:val="single" w:sz="4" w:space="0" w:color="000000"/>
              <w:right w:val="single" w:sz="4" w:space="0" w:color="000000"/>
            </w:tcBorders>
            <w:noWrap/>
            <w:vAlign w:val="bottom"/>
          </w:tcPr>
          <w:p w:rsidR="00EE0247" w:rsidRDefault="007240D0">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 xml:space="preserve">0.00 </w:t>
            </w:r>
          </w:p>
        </w:tc>
        <w:tc>
          <w:tcPr>
            <w:tcW w:w="2113" w:type="dxa"/>
            <w:tcBorders>
              <w:top w:val="single" w:sz="4" w:space="0" w:color="000000"/>
              <w:left w:val="single" w:sz="4" w:space="0" w:color="000000"/>
              <w:bottom w:val="single" w:sz="4" w:space="0" w:color="000000"/>
              <w:right w:val="single" w:sz="4" w:space="0" w:color="000000"/>
            </w:tcBorders>
            <w:noWrap/>
            <w:vAlign w:val="bottom"/>
          </w:tcPr>
          <w:p w:rsidR="00EE0247" w:rsidRDefault="007240D0">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 xml:space="preserve">0.00 </w:t>
            </w:r>
          </w:p>
        </w:tc>
        <w:tc>
          <w:tcPr>
            <w:tcW w:w="2172" w:type="dxa"/>
            <w:tcBorders>
              <w:top w:val="single" w:sz="4" w:space="0" w:color="000000"/>
              <w:left w:val="single" w:sz="4" w:space="0" w:color="000000"/>
              <w:bottom w:val="single" w:sz="4" w:space="0" w:color="000000"/>
              <w:right w:val="single" w:sz="4" w:space="0" w:color="000000"/>
            </w:tcBorders>
            <w:vAlign w:val="bottom"/>
          </w:tcPr>
          <w:p w:rsidR="00EE0247" w:rsidRDefault="007240D0">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 xml:space="preserve">0.0000 </w:t>
            </w:r>
          </w:p>
        </w:tc>
      </w:tr>
      <w:tr w:rsidR="00EE0247">
        <w:trPr>
          <w:trHeight w:val="322"/>
          <w:jc w:val="center"/>
        </w:trPr>
        <w:tc>
          <w:tcPr>
            <w:tcW w:w="1155" w:type="pct"/>
            <w:tcBorders>
              <w:top w:val="single" w:sz="4" w:space="0" w:color="000000"/>
              <w:left w:val="single" w:sz="4" w:space="0" w:color="000000"/>
              <w:bottom w:val="single" w:sz="4" w:space="0" w:color="000000"/>
              <w:right w:val="single" w:sz="4" w:space="0" w:color="000000"/>
            </w:tcBorders>
            <w:noWrap/>
            <w:vAlign w:val="center"/>
          </w:tcPr>
          <w:p w:rsidR="00EE0247" w:rsidRDefault="007240D0">
            <w:pPr>
              <w:widowControl/>
              <w:spacing w:line="240" w:lineRule="auto"/>
              <w:ind w:firstLineChars="0" w:firstLine="0"/>
              <w:jc w:val="center"/>
              <w:rPr>
                <w:rFonts w:eastAsia="宋体" w:cs="Times New Roman"/>
                <w:color w:val="000000" w:themeColor="text1"/>
                <w:kern w:val="0"/>
                <w:sz w:val="18"/>
                <w:szCs w:val="18"/>
              </w:rPr>
            </w:pPr>
            <w:r>
              <w:rPr>
                <w:rFonts w:eastAsia="宋体" w:cs="Times New Roman"/>
                <w:color w:val="000000" w:themeColor="text1"/>
                <w:kern w:val="0"/>
                <w:sz w:val="18"/>
                <w:szCs w:val="18"/>
              </w:rPr>
              <w:t>造纸</w:t>
            </w:r>
          </w:p>
        </w:tc>
        <w:tc>
          <w:tcPr>
            <w:tcW w:w="2866" w:type="dxa"/>
            <w:tcBorders>
              <w:top w:val="single" w:sz="4" w:space="0" w:color="000000"/>
              <w:left w:val="single" w:sz="4" w:space="0" w:color="000000"/>
              <w:bottom w:val="single" w:sz="4" w:space="0" w:color="000000"/>
              <w:right w:val="single" w:sz="4" w:space="0" w:color="000000"/>
            </w:tcBorders>
            <w:noWrap/>
            <w:vAlign w:val="bottom"/>
          </w:tcPr>
          <w:p w:rsidR="00EE0247" w:rsidRDefault="007240D0">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 xml:space="preserve">0.00 </w:t>
            </w:r>
          </w:p>
        </w:tc>
        <w:tc>
          <w:tcPr>
            <w:tcW w:w="2113" w:type="dxa"/>
            <w:tcBorders>
              <w:top w:val="single" w:sz="4" w:space="0" w:color="000000"/>
              <w:left w:val="single" w:sz="4" w:space="0" w:color="000000"/>
              <w:bottom w:val="single" w:sz="4" w:space="0" w:color="000000"/>
              <w:right w:val="single" w:sz="4" w:space="0" w:color="000000"/>
            </w:tcBorders>
            <w:noWrap/>
            <w:vAlign w:val="bottom"/>
          </w:tcPr>
          <w:p w:rsidR="00EE0247" w:rsidRDefault="007240D0">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 xml:space="preserve">0.00 </w:t>
            </w:r>
          </w:p>
        </w:tc>
        <w:tc>
          <w:tcPr>
            <w:tcW w:w="2172" w:type="dxa"/>
            <w:tcBorders>
              <w:top w:val="single" w:sz="4" w:space="0" w:color="000000"/>
              <w:left w:val="single" w:sz="4" w:space="0" w:color="000000"/>
              <w:bottom w:val="single" w:sz="4" w:space="0" w:color="000000"/>
              <w:right w:val="single" w:sz="4" w:space="0" w:color="000000"/>
            </w:tcBorders>
            <w:vAlign w:val="bottom"/>
          </w:tcPr>
          <w:p w:rsidR="00EE0247" w:rsidRDefault="007240D0">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 xml:space="preserve">0.0000 </w:t>
            </w:r>
          </w:p>
        </w:tc>
      </w:tr>
      <w:tr w:rsidR="00EE0247">
        <w:trPr>
          <w:trHeight w:val="322"/>
          <w:jc w:val="center"/>
        </w:trPr>
        <w:tc>
          <w:tcPr>
            <w:tcW w:w="1155" w:type="pct"/>
            <w:tcBorders>
              <w:top w:val="single" w:sz="4" w:space="0" w:color="000000"/>
              <w:left w:val="single" w:sz="4" w:space="0" w:color="000000"/>
              <w:bottom w:val="single" w:sz="4" w:space="0" w:color="000000"/>
              <w:right w:val="single" w:sz="4" w:space="0" w:color="000000"/>
            </w:tcBorders>
            <w:noWrap/>
            <w:vAlign w:val="center"/>
          </w:tcPr>
          <w:p w:rsidR="00EE0247" w:rsidRDefault="007240D0">
            <w:pPr>
              <w:widowControl/>
              <w:spacing w:line="240" w:lineRule="auto"/>
              <w:ind w:firstLineChars="0" w:firstLine="0"/>
              <w:jc w:val="center"/>
              <w:rPr>
                <w:rFonts w:eastAsia="宋体" w:cs="Times New Roman"/>
                <w:color w:val="000000" w:themeColor="text1"/>
                <w:kern w:val="0"/>
                <w:sz w:val="18"/>
                <w:szCs w:val="18"/>
              </w:rPr>
            </w:pPr>
            <w:r>
              <w:rPr>
                <w:rFonts w:eastAsia="宋体" w:cs="Times New Roman"/>
                <w:color w:val="000000" w:themeColor="text1"/>
                <w:kern w:val="0"/>
                <w:sz w:val="18"/>
                <w:szCs w:val="18"/>
              </w:rPr>
              <w:t>航空</w:t>
            </w:r>
          </w:p>
        </w:tc>
        <w:tc>
          <w:tcPr>
            <w:tcW w:w="2866" w:type="dxa"/>
            <w:tcBorders>
              <w:top w:val="single" w:sz="4" w:space="0" w:color="000000"/>
              <w:left w:val="single" w:sz="4" w:space="0" w:color="000000"/>
              <w:bottom w:val="single" w:sz="4" w:space="0" w:color="000000"/>
              <w:right w:val="single" w:sz="4" w:space="0" w:color="000000"/>
            </w:tcBorders>
            <w:noWrap/>
            <w:vAlign w:val="bottom"/>
          </w:tcPr>
          <w:p w:rsidR="00EE0247" w:rsidRDefault="007240D0">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 xml:space="preserve">0.00 </w:t>
            </w:r>
          </w:p>
        </w:tc>
        <w:tc>
          <w:tcPr>
            <w:tcW w:w="2113" w:type="dxa"/>
            <w:tcBorders>
              <w:top w:val="single" w:sz="4" w:space="0" w:color="000000"/>
              <w:left w:val="single" w:sz="4" w:space="0" w:color="000000"/>
              <w:bottom w:val="single" w:sz="4" w:space="0" w:color="000000"/>
              <w:right w:val="single" w:sz="4" w:space="0" w:color="000000"/>
            </w:tcBorders>
            <w:noWrap/>
            <w:vAlign w:val="bottom"/>
          </w:tcPr>
          <w:p w:rsidR="00EE0247" w:rsidRDefault="007240D0">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 xml:space="preserve">0.00 </w:t>
            </w:r>
          </w:p>
        </w:tc>
        <w:tc>
          <w:tcPr>
            <w:tcW w:w="2172" w:type="dxa"/>
            <w:tcBorders>
              <w:top w:val="single" w:sz="4" w:space="0" w:color="000000"/>
              <w:left w:val="single" w:sz="4" w:space="0" w:color="000000"/>
              <w:bottom w:val="single" w:sz="4" w:space="0" w:color="000000"/>
              <w:right w:val="single" w:sz="4" w:space="0" w:color="000000"/>
            </w:tcBorders>
            <w:vAlign w:val="bottom"/>
          </w:tcPr>
          <w:p w:rsidR="00EE0247" w:rsidRDefault="007240D0">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 xml:space="preserve">0.0000 </w:t>
            </w:r>
          </w:p>
        </w:tc>
      </w:tr>
      <w:tr w:rsidR="00EE0247">
        <w:trPr>
          <w:trHeight w:val="349"/>
          <w:jc w:val="center"/>
        </w:trPr>
        <w:tc>
          <w:tcPr>
            <w:tcW w:w="1155" w:type="pct"/>
            <w:tcBorders>
              <w:top w:val="single" w:sz="4" w:space="0" w:color="000000"/>
              <w:left w:val="single" w:sz="4" w:space="0" w:color="000000"/>
              <w:bottom w:val="single" w:sz="4" w:space="0" w:color="000000"/>
              <w:right w:val="single" w:sz="4" w:space="0" w:color="000000"/>
            </w:tcBorders>
            <w:noWrap/>
            <w:vAlign w:val="center"/>
          </w:tcPr>
          <w:p w:rsidR="00EE0247" w:rsidRDefault="007240D0">
            <w:pPr>
              <w:widowControl/>
              <w:spacing w:line="240" w:lineRule="auto"/>
              <w:ind w:firstLineChars="0" w:firstLine="0"/>
              <w:jc w:val="center"/>
              <w:rPr>
                <w:rFonts w:eastAsia="宋体" w:cs="Times New Roman"/>
                <w:color w:val="000000" w:themeColor="text1"/>
                <w:kern w:val="0"/>
                <w:sz w:val="18"/>
                <w:szCs w:val="18"/>
              </w:rPr>
            </w:pPr>
            <w:r>
              <w:rPr>
                <w:rFonts w:eastAsia="宋体" w:cs="Times New Roman"/>
                <w:color w:val="000000" w:themeColor="text1"/>
                <w:kern w:val="0"/>
                <w:sz w:val="18"/>
                <w:szCs w:val="18"/>
              </w:rPr>
              <w:t>总计</w:t>
            </w:r>
          </w:p>
        </w:tc>
        <w:tc>
          <w:tcPr>
            <w:tcW w:w="2866" w:type="dxa"/>
            <w:tcBorders>
              <w:top w:val="single" w:sz="4" w:space="0" w:color="000000"/>
              <w:left w:val="single" w:sz="4" w:space="0" w:color="000000"/>
              <w:bottom w:val="single" w:sz="4" w:space="0" w:color="000000"/>
              <w:right w:val="single" w:sz="4" w:space="0" w:color="000000"/>
            </w:tcBorders>
            <w:noWrap/>
            <w:vAlign w:val="bottom"/>
          </w:tcPr>
          <w:p w:rsidR="00EE0247" w:rsidRDefault="007240D0">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 xml:space="preserve">7292.70 </w:t>
            </w:r>
          </w:p>
        </w:tc>
        <w:tc>
          <w:tcPr>
            <w:tcW w:w="2113" w:type="dxa"/>
            <w:tcBorders>
              <w:top w:val="single" w:sz="4" w:space="0" w:color="000000"/>
              <w:left w:val="single" w:sz="4" w:space="0" w:color="000000"/>
              <w:bottom w:val="single" w:sz="4" w:space="0" w:color="000000"/>
              <w:right w:val="single" w:sz="4" w:space="0" w:color="000000"/>
            </w:tcBorders>
            <w:noWrap/>
            <w:vAlign w:val="bottom"/>
          </w:tcPr>
          <w:p w:rsidR="00EE0247" w:rsidRDefault="007240D0">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 xml:space="preserve">317.06 </w:t>
            </w:r>
          </w:p>
        </w:tc>
        <w:tc>
          <w:tcPr>
            <w:tcW w:w="2172" w:type="dxa"/>
            <w:tcBorders>
              <w:top w:val="single" w:sz="4" w:space="0" w:color="000000"/>
              <w:left w:val="single" w:sz="4" w:space="0" w:color="000000"/>
              <w:bottom w:val="single" w:sz="4" w:space="0" w:color="000000"/>
              <w:right w:val="single" w:sz="4" w:space="0" w:color="000000"/>
            </w:tcBorders>
            <w:vAlign w:val="bottom"/>
          </w:tcPr>
          <w:p w:rsidR="00EE0247" w:rsidRDefault="007240D0">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 xml:space="preserve">0.0435 </w:t>
            </w:r>
          </w:p>
        </w:tc>
      </w:tr>
    </w:tbl>
    <w:p w:rsidR="00C3082E" w:rsidRDefault="00C3082E">
      <w:pPr>
        <w:pStyle w:val="2"/>
        <w:rPr>
          <w:rFonts w:ascii="Times New Roman" w:hAnsi="Times New Roman" w:hint="default"/>
        </w:rPr>
      </w:pPr>
    </w:p>
    <w:p w:rsidR="00EE0247" w:rsidRDefault="007240D0">
      <w:pPr>
        <w:pStyle w:val="2"/>
        <w:rPr>
          <w:rFonts w:ascii="Times New Roman" w:hAnsi="Times New Roman" w:hint="default"/>
        </w:rPr>
      </w:pPr>
      <w:bookmarkStart w:id="32" w:name="_Toc206595331"/>
      <w:r>
        <w:rPr>
          <w:rFonts w:ascii="Times New Roman" w:hAnsi="Times New Roman" w:hint="default"/>
        </w:rPr>
        <w:lastRenderedPageBreak/>
        <w:t xml:space="preserve">7.4 </w:t>
      </w:r>
      <w:r>
        <w:rPr>
          <w:rFonts w:ascii="Times New Roman" w:hAnsi="Times New Roman" w:hint="default"/>
        </w:rPr>
        <w:t>行业门类</w:t>
      </w:r>
      <w:bookmarkEnd w:id="32"/>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宋体" w:cs="Times New Roman"/>
          <w:b/>
          <w:bCs/>
          <w:color w:val="000000" w:themeColor="text1"/>
          <w:kern w:val="0"/>
          <w:sz w:val="18"/>
          <w:szCs w:val="18"/>
        </w:rPr>
      </w:pPr>
      <w:r>
        <w:rPr>
          <w:rFonts w:eastAsia="仿宋" w:cs="Times New Roman"/>
          <w:bCs/>
          <w:snapToGrid w:val="0"/>
          <w:color w:val="000000" w:themeColor="text1"/>
          <w:spacing w:val="6"/>
          <w:kern w:val="0"/>
          <w:sz w:val="24"/>
          <w:szCs w:val="24"/>
        </w:rPr>
        <w:t>报告年度内本行投融资活动碳排放按行业门类构成分析，占比前三的行业依次为：</w:t>
      </w:r>
      <w:r>
        <w:rPr>
          <w:rFonts w:eastAsia="仿宋" w:cs="Times New Roman"/>
          <w:bCs/>
          <w:snapToGrid w:val="0"/>
          <w:color w:val="000000" w:themeColor="text1"/>
          <w:spacing w:val="6"/>
          <w:kern w:val="0"/>
          <w:sz w:val="24"/>
          <w:szCs w:val="24"/>
          <w:u w:val="single"/>
        </w:rPr>
        <w:t xml:space="preserve"> </w:t>
      </w:r>
      <w:r>
        <w:rPr>
          <w:rFonts w:eastAsia="仿宋" w:cs="Times New Roman"/>
          <w:snapToGrid w:val="0"/>
          <w:color w:val="000000" w:themeColor="text1"/>
          <w:spacing w:val="6"/>
          <w:kern w:val="0"/>
          <w:sz w:val="24"/>
          <w:szCs w:val="24"/>
          <w:u w:val="single"/>
        </w:rPr>
        <w:t>C.</w:t>
      </w:r>
      <w:r>
        <w:rPr>
          <w:rFonts w:eastAsia="仿宋" w:cs="Times New Roman"/>
          <w:snapToGrid w:val="0"/>
          <w:color w:val="000000" w:themeColor="text1"/>
          <w:spacing w:val="6"/>
          <w:kern w:val="0"/>
          <w:sz w:val="24"/>
          <w:szCs w:val="24"/>
          <w:u w:val="single"/>
        </w:rPr>
        <w:t>制造业</w:t>
      </w:r>
      <w:r>
        <w:rPr>
          <w:rFonts w:eastAsia="仿宋" w:cs="Times New Roman"/>
          <w:bCs/>
          <w:color w:val="000000" w:themeColor="text1"/>
          <w:spacing w:val="6"/>
          <w:sz w:val="24"/>
          <w:u w:val="single"/>
        </w:rPr>
        <w:t xml:space="preserve"> </w:t>
      </w:r>
      <w:r>
        <w:rPr>
          <w:rFonts w:eastAsia="仿宋" w:cs="Times New Roman"/>
          <w:bCs/>
          <w:color w:val="000000" w:themeColor="text1"/>
          <w:spacing w:val="6"/>
          <w:sz w:val="24"/>
        </w:rPr>
        <w:t>行业</w:t>
      </w:r>
      <w:r>
        <w:rPr>
          <w:rFonts w:eastAsia="仿宋" w:cs="Times New Roman"/>
          <w:bCs/>
          <w:snapToGrid w:val="0"/>
          <w:color w:val="000000" w:themeColor="text1"/>
          <w:spacing w:val="6"/>
          <w:kern w:val="0"/>
          <w:sz w:val="24"/>
          <w:szCs w:val="24"/>
        </w:rPr>
        <w:t>产生的碳排放</w:t>
      </w:r>
      <w:r>
        <w:rPr>
          <w:rFonts w:eastAsia="仿宋" w:cs="Times New Roman"/>
          <w:bCs/>
          <w:snapToGrid w:val="0"/>
          <w:color w:val="000000" w:themeColor="text1"/>
          <w:spacing w:val="6"/>
          <w:kern w:val="0"/>
          <w:sz w:val="24"/>
          <w:szCs w:val="24"/>
          <w:u w:val="single"/>
        </w:rPr>
        <w:t xml:space="preserve"> </w:t>
      </w:r>
      <w:r>
        <w:rPr>
          <w:rFonts w:eastAsia="仿宋" w:cs="Times New Roman"/>
          <w:snapToGrid w:val="0"/>
          <w:color w:val="000000" w:themeColor="text1"/>
          <w:spacing w:val="6"/>
          <w:kern w:val="0"/>
          <w:sz w:val="24"/>
          <w:szCs w:val="24"/>
          <w:u w:val="single"/>
        </w:rPr>
        <w:t>56645.99</w:t>
      </w:r>
      <w:r>
        <w:rPr>
          <w:rFonts w:eastAsia="仿宋" w:cs="Times New Roman"/>
          <w:bCs/>
          <w:color w:val="000000" w:themeColor="text1"/>
          <w:spacing w:val="6"/>
          <w:sz w:val="24"/>
          <w:u w:val="single"/>
        </w:rPr>
        <w:t xml:space="preserve"> </w:t>
      </w:r>
      <w:r>
        <w:rPr>
          <w:rFonts w:eastAsia="仿宋" w:cs="Times New Roman"/>
          <w:bCs/>
          <w:snapToGrid w:val="0"/>
          <w:color w:val="000000" w:themeColor="text1"/>
          <w:spacing w:val="6"/>
          <w:kern w:val="0"/>
          <w:sz w:val="24"/>
          <w:szCs w:val="24"/>
        </w:rPr>
        <w:t>tCO</w:t>
      </w:r>
      <w:r>
        <w:rPr>
          <w:rFonts w:eastAsia="仿宋" w:cs="Times New Roman"/>
          <w:bCs/>
          <w:snapToGrid w:val="0"/>
          <w:color w:val="000000" w:themeColor="text1"/>
          <w:spacing w:val="6"/>
          <w:kern w:val="0"/>
          <w:sz w:val="24"/>
          <w:szCs w:val="24"/>
          <w:vertAlign w:val="subscript"/>
        </w:rPr>
        <w:t>2</w:t>
      </w:r>
      <w:r>
        <w:rPr>
          <w:rFonts w:eastAsia="仿宋" w:cs="Times New Roman"/>
          <w:bCs/>
          <w:snapToGrid w:val="0"/>
          <w:color w:val="000000" w:themeColor="text1"/>
          <w:spacing w:val="6"/>
          <w:kern w:val="0"/>
          <w:sz w:val="24"/>
          <w:szCs w:val="24"/>
        </w:rPr>
        <w:t>e</w:t>
      </w:r>
      <w:r>
        <w:rPr>
          <w:rFonts w:eastAsia="仿宋" w:cs="Times New Roman"/>
          <w:bCs/>
          <w:snapToGrid w:val="0"/>
          <w:color w:val="000000" w:themeColor="text1"/>
          <w:spacing w:val="6"/>
          <w:kern w:val="0"/>
          <w:sz w:val="24"/>
          <w:szCs w:val="24"/>
        </w:rPr>
        <w:t>，</w:t>
      </w:r>
      <w:r>
        <w:rPr>
          <w:rFonts w:eastAsia="仿宋" w:cs="Times New Roman"/>
          <w:bCs/>
          <w:snapToGrid w:val="0"/>
          <w:color w:val="000000" w:themeColor="text1"/>
          <w:spacing w:val="6"/>
          <w:kern w:val="0"/>
          <w:sz w:val="24"/>
          <w:szCs w:val="24"/>
          <w:u w:val="single"/>
        </w:rPr>
        <w:t xml:space="preserve"> </w:t>
      </w:r>
      <w:r>
        <w:rPr>
          <w:rFonts w:eastAsia="仿宋" w:cs="Times New Roman"/>
          <w:snapToGrid w:val="0"/>
          <w:color w:val="000000" w:themeColor="text1"/>
          <w:spacing w:val="6"/>
          <w:kern w:val="0"/>
          <w:sz w:val="24"/>
          <w:szCs w:val="24"/>
          <w:u w:val="single"/>
        </w:rPr>
        <w:t>Q.</w:t>
      </w:r>
      <w:r>
        <w:rPr>
          <w:rFonts w:eastAsia="仿宋" w:cs="Times New Roman"/>
          <w:snapToGrid w:val="0"/>
          <w:color w:val="000000" w:themeColor="text1"/>
          <w:spacing w:val="6"/>
          <w:kern w:val="0"/>
          <w:sz w:val="24"/>
          <w:szCs w:val="24"/>
          <w:u w:val="single"/>
        </w:rPr>
        <w:t>卫生和社会工作</w:t>
      </w:r>
      <w:r>
        <w:rPr>
          <w:rFonts w:eastAsia="仿宋" w:cs="Times New Roman"/>
          <w:bCs/>
          <w:color w:val="000000" w:themeColor="text1"/>
          <w:spacing w:val="6"/>
          <w:sz w:val="24"/>
          <w:u w:val="single"/>
        </w:rPr>
        <w:t xml:space="preserve"> </w:t>
      </w:r>
      <w:r>
        <w:rPr>
          <w:rFonts w:eastAsia="仿宋" w:cs="Times New Roman"/>
          <w:bCs/>
          <w:color w:val="000000" w:themeColor="text1"/>
          <w:spacing w:val="6"/>
          <w:sz w:val="24"/>
        </w:rPr>
        <w:t>行业</w:t>
      </w:r>
      <w:r>
        <w:rPr>
          <w:rFonts w:eastAsia="仿宋" w:cs="Times New Roman"/>
          <w:bCs/>
          <w:snapToGrid w:val="0"/>
          <w:color w:val="000000" w:themeColor="text1"/>
          <w:spacing w:val="6"/>
          <w:kern w:val="0"/>
          <w:sz w:val="24"/>
          <w:szCs w:val="24"/>
        </w:rPr>
        <w:t>产生的碳排放</w:t>
      </w:r>
      <w:r>
        <w:rPr>
          <w:rFonts w:eastAsia="仿宋" w:cs="Times New Roman"/>
          <w:bCs/>
          <w:snapToGrid w:val="0"/>
          <w:color w:val="000000" w:themeColor="text1"/>
          <w:spacing w:val="6"/>
          <w:kern w:val="0"/>
          <w:sz w:val="24"/>
          <w:szCs w:val="24"/>
          <w:u w:val="single"/>
        </w:rPr>
        <w:t xml:space="preserve"> </w:t>
      </w:r>
      <w:r>
        <w:rPr>
          <w:rFonts w:eastAsia="仿宋" w:cs="Times New Roman"/>
          <w:snapToGrid w:val="0"/>
          <w:color w:val="000000" w:themeColor="text1"/>
          <w:spacing w:val="6"/>
          <w:kern w:val="0"/>
          <w:sz w:val="24"/>
          <w:szCs w:val="24"/>
          <w:u w:val="single"/>
        </w:rPr>
        <w:t>43627.24</w:t>
      </w:r>
      <w:r>
        <w:rPr>
          <w:rFonts w:eastAsia="仿宋" w:cs="Times New Roman"/>
          <w:bCs/>
          <w:color w:val="000000" w:themeColor="text1"/>
          <w:spacing w:val="6"/>
          <w:sz w:val="24"/>
          <w:u w:val="single"/>
        </w:rPr>
        <w:t xml:space="preserve"> </w:t>
      </w:r>
      <w:r>
        <w:rPr>
          <w:rFonts w:eastAsia="仿宋" w:cs="Times New Roman"/>
          <w:bCs/>
          <w:snapToGrid w:val="0"/>
          <w:color w:val="000000" w:themeColor="text1"/>
          <w:spacing w:val="6"/>
          <w:kern w:val="0"/>
          <w:sz w:val="24"/>
          <w:szCs w:val="24"/>
        </w:rPr>
        <w:t>tCO</w:t>
      </w:r>
      <w:r>
        <w:rPr>
          <w:rFonts w:eastAsia="仿宋" w:cs="Times New Roman"/>
          <w:bCs/>
          <w:snapToGrid w:val="0"/>
          <w:color w:val="000000" w:themeColor="text1"/>
          <w:spacing w:val="6"/>
          <w:kern w:val="0"/>
          <w:sz w:val="24"/>
          <w:szCs w:val="24"/>
          <w:vertAlign w:val="subscript"/>
        </w:rPr>
        <w:t>2</w:t>
      </w:r>
      <w:r>
        <w:rPr>
          <w:rFonts w:eastAsia="仿宋" w:cs="Times New Roman"/>
          <w:bCs/>
          <w:snapToGrid w:val="0"/>
          <w:color w:val="000000" w:themeColor="text1"/>
          <w:spacing w:val="6"/>
          <w:kern w:val="0"/>
          <w:sz w:val="24"/>
          <w:szCs w:val="24"/>
        </w:rPr>
        <w:t>e</w:t>
      </w:r>
      <w:r>
        <w:rPr>
          <w:rFonts w:eastAsia="仿宋" w:cs="Times New Roman"/>
          <w:bCs/>
          <w:snapToGrid w:val="0"/>
          <w:color w:val="000000" w:themeColor="text1"/>
          <w:spacing w:val="6"/>
          <w:kern w:val="0"/>
          <w:sz w:val="24"/>
          <w:szCs w:val="24"/>
        </w:rPr>
        <w:t>，</w:t>
      </w:r>
      <w:r>
        <w:rPr>
          <w:rFonts w:eastAsia="仿宋" w:cs="Times New Roman"/>
          <w:bCs/>
          <w:snapToGrid w:val="0"/>
          <w:color w:val="000000" w:themeColor="text1"/>
          <w:spacing w:val="6"/>
          <w:kern w:val="0"/>
          <w:sz w:val="24"/>
          <w:szCs w:val="24"/>
          <w:u w:val="single"/>
        </w:rPr>
        <w:t xml:space="preserve"> </w:t>
      </w:r>
      <w:r>
        <w:rPr>
          <w:rFonts w:eastAsia="仿宋" w:cs="Times New Roman"/>
          <w:snapToGrid w:val="0"/>
          <w:color w:val="000000" w:themeColor="text1"/>
          <w:spacing w:val="6"/>
          <w:kern w:val="0"/>
          <w:sz w:val="24"/>
          <w:szCs w:val="24"/>
          <w:u w:val="single"/>
        </w:rPr>
        <w:t>E.</w:t>
      </w:r>
      <w:r>
        <w:rPr>
          <w:rFonts w:eastAsia="仿宋" w:cs="Times New Roman"/>
          <w:snapToGrid w:val="0"/>
          <w:color w:val="000000" w:themeColor="text1"/>
          <w:spacing w:val="6"/>
          <w:kern w:val="0"/>
          <w:sz w:val="24"/>
          <w:szCs w:val="24"/>
          <w:u w:val="single"/>
        </w:rPr>
        <w:t>建筑业</w:t>
      </w:r>
      <w:r>
        <w:rPr>
          <w:rFonts w:eastAsia="仿宋" w:cs="Times New Roman"/>
          <w:bCs/>
          <w:color w:val="000000" w:themeColor="text1"/>
          <w:spacing w:val="6"/>
          <w:sz w:val="24"/>
          <w:u w:val="single"/>
        </w:rPr>
        <w:t xml:space="preserve"> </w:t>
      </w:r>
      <w:r>
        <w:rPr>
          <w:rFonts w:eastAsia="仿宋" w:cs="Times New Roman"/>
          <w:bCs/>
          <w:color w:val="000000" w:themeColor="text1"/>
          <w:spacing w:val="6"/>
          <w:sz w:val="24"/>
        </w:rPr>
        <w:t>行业</w:t>
      </w:r>
      <w:r>
        <w:rPr>
          <w:rFonts w:eastAsia="仿宋" w:cs="Times New Roman"/>
          <w:bCs/>
          <w:snapToGrid w:val="0"/>
          <w:color w:val="000000" w:themeColor="text1"/>
          <w:spacing w:val="6"/>
          <w:kern w:val="0"/>
          <w:sz w:val="24"/>
          <w:szCs w:val="24"/>
        </w:rPr>
        <w:t>产生的碳排放</w:t>
      </w:r>
      <w:r>
        <w:rPr>
          <w:rFonts w:eastAsia="仿宋" w:cs="Times New Roman"/>
          <w:bCs/>
          <w:snapToGrid w:val="0"/>
          <w:color w:val="000000" w:themeColor="text1"/>
          <w:spacing w:val="6"/>
          <w:kern w:val="0"/>
          <w:sz w:val="24"/>
          <w:szCs w:val="24"/>
          <w:u w:val="single"/>
        </w:rPr>
        <w:t xml:space="preserve"> </w:t>
      </w:r>
      <w:r>
        <w:rPr>
          <w:rFonts w:eastAsia="仿宋" w:cs="Times New Roman"/>
          <w:snapToGrid w:val="0"/>
          <w:color w:val="000000" w:themeColor="text1"/>
          <w:spacing w:val="6"/>
          <w:kern w:val="0"/>
          <w:sz w:val="24"/>
          <w:szCs w:val="24"/>
          <w:u w:val="single"/>
        </w:rPr>
        <w:t>7895.29</w:t>
      </w:r>
      <w:r>
        <w:rPr>
          <w:rFonts w:eastAsia="仿宋" w:cs="Times New Roman"/>
          <w:bCs/>
          <w:color w:val="000000" w:themeColor="text1"/>
          <w:spacing w:val="6"/>
          <w:sz w:val="24"/>
          <w:u w:val="single"/>
        </w:rPr>
        <w:t xml:space="preserve"> </w:t>
      </w:r>
      <w:r>
        <w:rPr>
          <w:rFonts w:eastAsia="仿宋" w:cs="Times New Roman"/>
          <w:bCs/>
          <w:snapToGrid w:val="0"/>
          <w:color w:val="000000" w:themeColor="text1"/>
          <w:spacing w:val="6"/>
          <w:kern w:val="0"/>
          <w:sz w:val="24"/>
          <w:szCs w:val="24"/>
        </w:rPr>
        <w:t>tCO</w:t>
      </w:r>
      <w:r>
        <w:rPr>
          <w:rFonts w:eastAsia="仿宋" w:cs="Times New Roman"/>
          <w:bCs/>
          <w:snapToGrid w:val="0"/>
          <w:color w:val="000000" w:themeColor="text1"/>
          <w:spacing w:val="6"/>
          <w:kern w:val="0"/>
          <w:sz w:val="24"/>
          <w:szCs w:val="24"/>
          <w:vertAlign w:val="subscript"/>
        </w:rPr>
        <w:t>2</w:t>
      </w:r>
      <w:r>
        <w:rPr>
          <w:rFonts w:eastAsia="仿宋" w:cs="Times New Roman"/>
          <w:bCs/>
          <w:snapToGrid w:val="0"/>
          <w:color w:val="000000" w:themeColor="text1"/>
          <w:spacing w:val="6"/>
          <w:kern w:val="0"/>
          <w:sz w:val="24"/>
          <w:szCs w:val="24"/>
        </w:rPr>
        <w:t>e</w:t>
      </w:r>
      <w:r>
        <w:rPr>
          <w:rFonts w:eastAsia="仿宋" w:cs="Times New Roman"/>
          <w:bCs/>
          <w:snapToGrid w:val="0"/>
          <w:color w:val="000000" w:themeColor="text1"/>
          <w:spacing w:val="6"/>
          <w:kern w:val="0"/>
          <w:sz w:val="24"/>
          <w:szCs w:val="24"/>
        </w:rPr>
        <w:t>。</w:t>
      </w:r>
    </w:p>
    <w:p w:rsidR="00EE0247" w:rsidRDefault="007240D0">
      <w:pPr>
        <w:widowControl/>
        <w:spacing w:line="240" w:lineRule="auto"/>
        <w:ind w:firstLineChars="0" w:firstLine="0"/>
        <w:jc w:val="center"/>
        <w:rPr>
          <w:rFonts w:eastAsia="宋体" w:cs="Times New Roman"/>
          <w:b/>
          <w:bCs/>
          <w:color w:val="000000" w:themeColor="text1"/>
          <w:kern w:val="0"/>
          <w:sz w:val="18"/>
          <w:szCs w:val="18"/>
        </w:rPr>
      </w:pPr>
      <w:r>
        <w:rPr>
          <w:rFonts w:eastAsia="宋体" w:cs="Times New Roman"/>
          <w:b/>
          <w:bCs/>
          <w:color w:val="000000" w:themeColor="text1"/>
          <w:kern w:val="0"/>
          <w:sz w:val="18"/>
          <w:szCs w:val="18"/>
        </w:rPr>
        <w:t>7-3</w:t>
      </w:r>
      <w:r>
        <w:rPr>
          <w:rFonts w:eastAsia="宋体" w:cs="Times New Roman"/>
          <w:b/>
          <w:bCs/>
          <w:color w:val="000000" w:themeColor="text1"/>
          <w:kern w:val="0"/>
          <w:sz w:val="18"/>
          <w:szCs w:val="18"/>
        </w:rPr>
        <w:t>投融资（行业门类）碳排放</w:t>
      </w:r>
    </w:p>
    <w:tbl>
      <w:tblPr>
        <w:tblW w:w="7392" w:type="dxa"/>
        <w:jc w:val="center"/>
        <w:tblLayout w:type="fixed"/>
        <w:tblLook w:val="04A0"/>
      </w:tblPr>
      <w:tblGrid>
        <w:gridCol w:w="4399"/>
        <w:gridCol w:w="2993"/>
      </w:tblGrid>
      <w:tr w:rsidR="00C3082E" w:rsidTr="00846B09">
        <w:trPr>
          <w:trHeight w:val="572"/>
          <w:tblHeader/>
          <w:jc w:val="center"/>
        </w:trPr>
        <w:tc>
          <w:tcPr>
            <w:tcW w:w="4399"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b/>
                <w:bCs/>
                <w:color w:val="000000" w:themeColor="text1"/>
                <w:kern w:val="0"/>
                <w:sz w:val="18"/>
                <w:szCs w:val="18"/>
              </w:rPr>
            </w:pPr>
            <w:r>
              <w:rPr>
                <w:rFonts w:eastAsia="宋体" w:cs="Times New Roman"/>
                <w:b/>
                <w:bCs/>
                <w:color w:val="000000" w:themeColor="text1"/>
                <w:kern w:val="0"/>
                <w:sz w:val="18"/>
                <w:szCs w:val="18"/>
              </w:rPr>
              <w:t>行业门类</w:t>
            </w:r>
          </w:p>
        </w:tc>
        <w:tc>
          <w:tcPr>
            <w:tcW w:w="2993"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b/>
                <w:bCs/>
                <w:color w:val="000000" w:themeColor="text1"/>
                <w:kern w:val="0"/>
                <w:sz w:val="18"/>
                <w:szCs w:val="18"/>
              </w:rPr>
            </w:pPr>
            <w:r>
              <w:rPr>
                <w:rFonts w:eastAsia="宋体" w:cs="Times New Roman"/>
                <w:b/>
                <w:bCs/>
                <w:color w:val="000000" w:themeColor="text1"/>
                <w:kern w:val="0"/>
                <w:sz w:val="18"/>
                <w:szCs w:val="18"/>
              </w:rPr>
              <w:t>贷款及债券投资碳排放量（</w:t>
            </w:r>
            <w:r>
              <w:rPr>
                <w:rFonts w:eastAsia="仿宋" w:cs="Times New Roman"/>
                <w:snapToGrid w:val="0"/>
                <w:color w:val="000000" w:themeColor="text1"/>
                <w:spacing w:val="6"/>
                <w:kern w:val="0"/>
                <w:sz w:val="18"/>
                <w:szCs w:val="18"/>
              </w:rPr>
              <w:t>tCO</w:t>
            </w:r>
            <w:r>
              <w:rPr>
                <w:rFonts w:eastAsia="仿宋" w:cs="Times New Roman"/>
                <w:snapToGrid w:val="0"/>
                <w:color w:val="000000" w:themeColor="text1"/>
                <w:spacing w:val="6"/>
                <w:kern w:val="0"/>
                <w:sz w:val="18"/>
                <w:szCs w:val="18"/>
                <w:vertAlign w:val="subscript"/>
              </w:rPr>
              <w:t>2</w:t>
            </w:r>
            <w:r>
              <w:rPr>
                <w:rFonts w:eastAsia="仿宋" w:cs="Times New Roman"/>
                <w:snapToGrid w:val="0"/>
                <w:color w:val="000000" w:themeColor="text1"/>
                <w:spacing w:val="6"/>
                <w:kern w:val="0"/>
                <w:sz w:val="18"/>
                <w:szCs w:val="18"/>
              </w:rPr>
              <w:t>e</w:t>
            </w:r>
            <w:r>
              <w:rPr>
                <w:rFonts w:eastAsia="宋体" w:cs="Times New Roman"/>
                <w:b/>
                <w:bCs/>
                <w:color w:val="000000" w:themeColor="text1"/>
                <w:kern w:val="0"/>
                <w:sz w:val="18"/>
                <w:szCs w:val="18"/>
              </w:rPr>
              <w:t>）</w:t>
            </w:r>
          </w:p>
        </w:tc>
      </w:tr>
      <w:tr w:rsidR="00C3082E" w:rsidTr="00C3082E">
        <w:trPr>
          <w:trHeight w:val="411"/>
          <w:jc w:val="center"/>
        </w:trPr>
        <w:tc>
          <w:tcPr>
            <w:tcW w:w="4399"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color w:val="000000" w:themeColor="text1"/>
                <w:kern w:val="0"/>
                <w:sz w:val="18"/>
                <w:szCs w:val="18"/>
              </w:rPr>
            </w:pPr>
            <w:r>
              <w:rPr>
                <w:rFonts w:ascii="宋体" w:eastAsia="宋体" w:hAnsi="宋体" w:hint="eastAsia"/>
                <w:bCs/>
                <w:color w:val="000000"/>
                <w:kern w:val="0"/>
                <w:sz w:val="18"/>
                <w:szCs w:val="18"/>
              </w:rPr>
              <w:t>A.农、林、牧、渔业</w:t>
            </w:r>
          </w:p>
        </w:tc>
        <w:tc>
          <w:tcPr>
            <w:tcW w:w="2993"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hint="eastAsia"/>
                <w:bCs/>
                <w:color w:val="000000"/>
                <w:kern w:val="0"/>
                <w:sz w:val="18"/>
                <w:szCs w:val="18"/>
              </w:rPr>
              <w:t xml:space="preserve">1177.27 </w:t>
            </w:r>
          </w:p>
        </w:tc>
      </w:tr>
      <w:tr w:rsidR="00C3082E" w:rsidTr="00C3082E">
        <w:trPr>
          <w:trHeight w:val="411"/>
          <w:jc w:val="center"/>
        </w:trPr>
        <w:tc>
          <w:tcPr>
            <w:tcW w:w="4399"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color w:val="000000" w:themeColor="text1"/>
                <w:kern w:val="0"/>
                <w:sz w:val="18"/>
                <w:szCs w:val="18"/>
              </w:rPr>
            </w:pPr>
            <w:r>
              <w:rPr>
                <w:rFonts w:ascii="宋体" w:eastAsia="宋体" w:hAnsi="宋体" w:hint="eastAsia"/>
                <w:bCs/>
                <w:color w:val="000000"/>
                <w:kern w:val="0"/>
                <w:sz w:val="18"/>
                <w:szCs w:val="18"/>
              </w:rPr>
              <w:t>B.采矿业</w:t>
            </w:r>
          </w:p>
        </w:tc>
        <w:tc>
          <w:tcPr>
            <w:tcW w:w="2993"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hint="eastAsia"/>
                <w:bCs/>
                <w:color w:val="000000"/>
                <w:kern w:val="0"/>
                <w:sz w:val="18"/>
                <w:szCs w:val="18"/>
              </w:rPr>
              <w:t xml:space="preserve">118.55 </w:t>
            </w:r>
          </w:p>
        </w:tc>
      </w:tr>
      <w:tr w:rsidR="00C3082E" w:rsidTr="00C3082E">
        <w:trPr>
          <w:trHeight w:val="411"/>
          <w:jc w:val="center"/>
        </w:trPr>
        <w:tc>
          <w:tcPr>
            <w:tcW w:w="4399"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color w:val="000000" w:themeColor="text1"/>
                <w:kern w:val="0"/>
                <w:sz w:val="18"/>
                <w:szCs w:val="18"/>
              </w:rPr>
            </w:pPr>
            <w:r>
              <w:rPr>
                <w:rFonts w:ascii="宋体" w:eastAsia="宋体" w:hAnsi="宋体" w:hint="eastAsia"/>
                <w:bCs/>
                <w:color w:val="000000"/>
                <w:kern w:val="0"/>
                <w:sz w:val="18"/>
                <w:szCs w:val="18"/>
              </w:rPr>
              <w:t>C.制造业</w:t>
            </w:r>
          </w:p>
        </w:tc>
        <w:tc>
          <w:tcPr>
            <w:tcW w:w="2993"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hint="eastAsia"/>
                <w:bCs/>
                <w:color w:val="000000"/>
                <w:kern w:val="0"/>
                <w:sz w:val="18"/>
                <w:szCs w:val="18"/>
              </w:rPr>
              <w:t xml:space="preserve">56645.99 </w:t>
            </w:r>
          </w:p>
        </w:tc>
      </w:tr>
      <w:tr w:rsidR="00C3082E" w:rsidTr="00C3082E">
        <w:trPr>
          <w:trHeight w:val="411"/>
          <w:jc w:val="center"/>
        </w:trPr>
        <w:tc>
          <w:tcPr>
            <w:tcW w:w="4399"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color w:val="000000" w:themeColor="text1"/>
                <w:kern w:val="0"/>
                <w:sz w:val="18"/>
                <w:szCs w:val="18"/>
              </w:rPr>
            </w:pPr>
            <w:r>
              <w:rPr>
                <w:rFonts w:ascii="宋体" w:eastAsia="宋体" w:hAnsi="宋体" w:hint="eastAsia"/>
                <w:bCs/>
                <w:color w:val="000000"/>
                <w:kern w:val="0"/>
                <w:sz w:val="18"/>
                <w:szCs w:val="18"/>
              </w:rPr>
              <w:t>D.电力、热力、燃气及水生产和供应业</w:t>
            </w:r>
          </w:p>
        </w:tc>
        <w:tc>
          <w:tcPr>
            <w:tcW w:w="2993"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hint="eastAsia"/>
                <w:bCs/>
                <w:color w:val="000000"/>
                <w:kern w:val="0"/>
                <w:sz w:val="18"/>
                <w:szCs w:val="18"/>
              </w:rPr>
              <w:t xml:space="preserve">2.23 </w:t>
            </w:r>
          </w:p>
        </w:tc>
      </w:tr>
      <w:tr w:rsidR="00C3082E" w:rsidTr="00C3082E">
        <w:trPr>
          <w:trHeight w:val="411"/>
          <w:jc w:val="center"/>
        </w:trPr>
        <w:tc>
          <w:tcPr>
            <w:tcW w:w="4399"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color w:val="000000" w:themeColor="text1"/>
                <w:kern w:val="0"/>
                <w:sz w:val="18"/>
                <w:szCs w:val="18"/>
              </w:rPr>
            </w:pPr>
            <w:r>
              <w:rPr>
                <w:rFonts w:ascii="宋体" w:eastAsia="宋体" w:hAnsi="宋体" w:hint="eastAsia"/>
                <w:bCs/>
                <w:color w:val="000000"/>
                <w:kern w:val="0"/>
                <w:sz w:val="18"/>
                <w:szCs w:val="18"/>
              </w:rPr>
              <w:t>E.建筑业</w:t>
            </w:r>
          </w:p>
        </w:tc>
        <w:tc>
          <w:tcPr>
            <w:tcW w:w="2993"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hint="eastAsia"/>
                <w:bCs/>
                <w:color w:val="000000"/>
                <w:kern w:val="0"/>
                <w:sz w:val="18"/>
                <w:szCs w:val="18"/>
              </w:rPr>
              <w:t xml:space="preserve">7895.29 </w:t>
            </w:r>
          </w:p>
        </w:tc>
      </w:tr>
      <w:tr w:rsidR="00C3082E" w:rsidTr="00C3082E">
        <w:trPr>
          <w:trHeight w:val="411"/>
          <w:jc w:val="center"/>
        </w:trPr>
        <w:tc>
          <w:tcPr>
            <w:tcW w:w="4399"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color w:val="000000" w:themeColor="text1"/>
                <w:kern w:val="0"/>
                <w:sz w:val="18"/>
                <w:szCs w:val="18"/>
              </w:rPr>
            </w:pPr>
            <w:r>
              <w:rPr>
                <w:rFonts w:ascii="宋体" w:eastAsia="宋体" w:hAnsi="宋体" w:hint="eastAsia"/>
                <w:bCs/>
                <w:color w:val="000000"/>
                <w:kern w:val="0"/>
                <w:sz w:val="18"/>
                <w:szCs w:val="18"/>
              </w:rPr>
              <w:t>F.批发和零售业</w:t>
            </w:r>
          </w:p>
        </w:tc>
        <w:tc>
          <w:tcPr>
            <w:tcW w:w="2993"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hint="eastAsia"/>
                <w:bCs/>
                <w:color w:val="000000"/>
                <w:kern w:val="0"/>
                <w:sz w:val="18"/>
                <w:szCs w:val="18"/>
              </w:rPr>
              <w:t xml:space="preserve">3150.21 </w:t>
            </w:r>
          </w:p>
        </w:tc>
      </w:tr>
      <w:tr w:rsidR="00C3082E" w:rsidTr="00C3082E">
        <w:trPr>
          <w:trHeight w:val="411"/>
          <w:jc w:val="center"/>
        </w:trPr>
        <w:tc>
          <w:tcPr>
            <w:tcW w:w="4399"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color w:val="000000" w:themeColor="text1"/>
                <w:kern w:val="0"/>
                <w:sz w:val="18"/>
                <w:szCs w:val="18"/>
              </w:rPr>
            </w:pPr>
            <w:r>
              <w:rPr>
                <w:rFonts w:ascii="宋体" w:eastAsia="宋体" w:hAnsi="宋体" w:hint="eastAsia"/>
                <w:bCs/>
                <w:color w:val="000000"/>
                <w:kern w:val="0"/>
                <w:sz w:val="18"/>
                <w:szCs w:val="18"/>
              </w:rPr>
              <w:t>G.交通运输、仓储和邮政业</w:t>
            </w:r>
          </w:p>
        </w:tc>
        <w:tc>
          <w:tcPr>
            <w:tcW w:w="2993"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hint="eastAsia"/>
                <w:bCs/>
                <w:color w:val="000000"/>
                <w:kern w:val="0"/>
                <w:sz w:val="18"/>
                <w:szCs w:val="18"/>
              </w:rPr>
              <w:t xml:space="preserve">1000.92 </w:t>
            </w:r>
          </w:p>
        </w:tc>
      </w:tr>
      <w:tr w:rsidR="00C3082E" w:rsidTr="00C3082E">
        <w:trPr>
          <w:trHeight w:val="411"/>
          <w:jc w:val="center"/>
        </w:trPr>
        <w:tc>
          <w:tcPr>
            <w:tcW w:w="4399"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color w:val="000000" w:themeColor="text1"/>
                <w:kern w:val="0"/>
                <w:sz w:val="18"/>
                <w:szCs w:val="18"/>
              </w:rPr>
            </w:pPr>
            <w:r>
              <w:rPr>
                <w:rFonts w:ascii="宋体" w:eastAsia="宋体" w:hAnsi="宋体" w:hint="eastAsia"/>
                <w:bCs/>
                <w:color w:val="000000"/>
                <w:kern w:val="0"/>
                <w:sz w:val="18"/>
                <w:szCs w:val="18"/>
              </w:rPr>
              <w:t>H.住宿和餐饮业</w:t>
            </w:r>
          </w:p>
        </w:tc>
        <w:tc>
          <w:tcPr>
            <w:tcW w:w="2993"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hint="eastAsia"/>
                <w:bCs/>
                <w:color w:val="000000"/>
                <w:kern w:val="0"/>
                <w:sz w:val="18"/>
                <w:szCs w:val="18"/>
              </w:rPr>
              <w:t xml:space="preserve">3047.46 </w:t>
            </w:r>
          </w:p>
        </w:tc>
      </w:tr>
      <w:tr w:rsidR="00C3082E" w:rsidTr="00C3082E">
        <w:trPr>
          <w:trHeight w:val="411"/>
          <w:jc w:val="center"/>
        </w:trPr>
        <w:tc>
          <w:tcPr>
            <w:tcW w:w="4399"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color w:val="000000" w:themeColor="text1"/>
                <w:kern w:val="0"/>
                <w:sz w:val="18"/>
                <w:szCs w:val="18"/>
              </w:rPr>
            </w:pPr>
            <w:r>
              <w:rPr>
                <w:rFonts w:ascii="宋体" w:eastAsia="宋体" w:hAnsi="宋体" w:hint="eastAsia"/>
                <w:bCs/>
                <w:color w:val="000000"/>
                <w:kern w:val="0"/>
                <w:sz w:val="18"/>
                <w:szCs w:val="18"/>
              </w:rPr>
              <w:t>I.信息传输、软件和信息技术服务业</w:t>
            </w:r>
          </w:p>
        </w:tc>
        <w:tc>
          <w:tcPr>
            <w:tcW w:w="2993"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hint="eastAsia"/>
                <w:bCs/>
                <w:color w:val="000000"/>
                <w:kern w:val="0"/>
                <w:sz w:val="18"/>
                <w:szCs w:val="18"/>
              </w:rPr>
              <w:t xml:space="preserve">37.22 </w:t>
            </w:r>
          </w:p>
        </w:tc>
      </w:tr>
      <w:tr w:rsidR="00C3082E" w:rsidTr="00C3082E">
        <w:trPr>
          <w:trHeight w:val="411"/>
          <w:jc w:val="center"/>
        </w:trPr>
        <w:tc>
          <w:tcPr>
            <w:tcW w:w="4399"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color w:val="000000" w:themeColor="text1"/>
                <w:kern w:val="0"/>
                <w:sz w:val="18"/>
                <w:szCs w:val="18"/>
              </w:rPr>
            </w:pPr>
            <w:r>
              <w:rPr>
                <w:rFonts w:ascii="宋体" w:eastAsia="宋体" w:hAnsi="宋体" w:hint="eastAsia"/>
                <w:bCs/>
                <w:color w:val="000000"/>
                <w:kern w:val="0"/>
                <w:sz w:val="18"/>
                <w:szCs w:val="18"/>
              </w:rPr>
              <w:t>J.金融业</w:t>
            </w:r>
          </w:p>
        </w:tc>
        <w:tc>
          <w:tcPr>
            <w:tcW w:w="2993"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hint="eastAsia"/>
                <w:bCs/>
                <w:color w:val="000000"/>
                <w:kern w:val="0"/>
                <w:sz w:val="18"/>
                <w:szCs w:val="18"/>
              </w:rPr>
              <w:t xml:space="preserve">0.00 </w:t>
            </w:r>
          </w:p>
        </w:tc>
      </w:tr>
      <w:tr w:rsidR="00C3082E" w:rsidTr="00C3082E">
        <w:trPr>
          <w:trHeight w:val="411"/>
          <w:jc w:val="center"/>
        </w:trPr>
        <w:tc>
          <w:tcPr>
            <w:tcW w:w="4399"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color w:val="000000" w:themeColor="text1"/>
                <w:kern w:val="0"/>
                <w:sz w:val="18"/>
                <w:szCs w:val="18"/>
              </w:rPr>
            </w:pPr>
            <w:r>
              <w:rPr>
                <w:rFonts w:ascii="宋体" w:eastAsia="宋体" w:hAnsi="宋体" w:hint="eastAsia"/>
                <w:bCs/>
                <w:color w:val="000000"/>
                <w:kern w:val="0"/>
                <w:sz w:val="18"/>
                <w:szCs w:val="18"/>
              </w:rPr>
              <w:t>K.房地产业</w:t>
            </w:r>
          </w:p>
        </w:tc>
        <w:tc>
          <w:tcPr>
            <w:tcW w:w="2993"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hint="eastAsia"/>
                <w:bCs/>
                <w:color w:val="000000"/>
                <w:kern w:val="0"/>
                <w:sz w:val="18"/>
                <w:szCs w:val="18"/>
              </w:rPr>
              <w:t xml:space="preserve">2444.51 </w:t>
            </w:r>
          </w:p>
        </w:tc>
      </w:tr>
      <w:tr w:rsidR="00C3082E" w:rsidTr="00C3082E">
        <w:trPr>
          <w:trHeight w:val="411"/>
          <w:jc w:val="center"/>
        </w:trPr>
        <w:tc>
          <w:tcPr>
            <w:tcW w:w="4399"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color w:val="000000" w:themeColor="text1"/>
                <w:kern w:val="0"/>
                <w:sz w:val="18"/>
                <w:szCs w:val="18"/>
              </w:rPr>
            </w:pPr>
            <w:r>
              <w:rPr>
                <w:rFonts w:ascii="宋体" w:eastAsia="宋体" w:hAnsi="宋体" w:hint="eastAsia"/>
                <w:bCs/>
                <w:color w:val="000000"/>
                <w:kern w:val="0"/>
                <w:sz w:val="18"/>
                <w:szCs w:val="18"/>
              </w:rPr>
              <w:t>L.租赁和商务服务业</w:t>
            </w:r>
          </w:p>
        </w:tc>
        <w:tc>
          <w:tcPr>
            <w:tcW w:w="2993"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hint="eastAsia"/>
                <w:bCs/>
                <w:color w:val="000000"/>
                <w:kern w:val="0"/>
                <w:sz w:val="18"/>
                <w:szCs w:val="18"/>
              </w:rPr>
              <w:t xml:space="preserve">914.30 </w:t>
            </w:r>
          </w:p>
        </w:tc>
      </w:tr>
      <w:tr w:rsidR="00C3082E" w:rsidTr="00C3082E">
        <w:trPr>
          <w:trHeight w:val="411"/>
          <w:jc w:val="center"/>
        </w:trPr>
        <w:tc>
          <w:tcPr>
            <w:tcW w:w="4399"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color w:val="000000" w:themeColor="text1"/>
                <w:kern w:val="0"/>
                <w:sz w:val="18"/>
                <w:szCs w:val="18"/>
              </w:rPr>
            </w:pPr>
            <w:r>
              <w:rPr>
                <w:rFonts w:ascii="宋体" w:eastAsia="宋体" w:hAnsi="宋体" w:hint="eastAsia"/>
                <w:bCs/>
                <w:color w:val="000000"/>
                <w:kern w:val="0"/>
                <w:sz w:val="18"/>
                <w:szCs w:val="18"/>
              </w:rPr>
              <w:t>M.科学研究和技术服务业</w:t>
            </w:r>
          </w:p>
        </w:tc>
        <w:tc>
          <w:tcPr>
            <w:tcW w:w="2993"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hint="eastAsia"/>
                <w:bCs/>
                <w:color w:val="000000"/>
                <w:kern w:val="0"/>
                <w:sz w:val="18"/>
                <w:szCs w:val="18"/>
              </w:rPr>
              <w:t xml:space="preserve">0.00 </w:t>
            </w:r>
          </w:p>
        </w:tc>
      </w:tr>
      <w:tr w:rsidR="00C3082E" w:rsidTr="00C3082E">
        <w:trPr>
          <w:trHeight w:val="411"/>
          <w:jc w:val="center"/>
        </w:trPr>
        <w:tc>
          <w:tcPr>
            <w:tcW w:w="4399"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color w:val="000000" w:themeColor="text1"/>
                <w:kern w:val="0"/>
                <w:sz w:val="18"/>
                <w:szCs w:val="18"/>
              </w:rPr>
            </w:pPr>
            <w:r>
              <w:rPr>
                <w:rFonts w:ascii="宋体" w:eastAsia="宋体" w:hAnsi="宋体" w:hint="eastAsia"/>
                <w:bCs/>
                <w:color w:val="000000"/>
                <w:kern w:val="0"/>
                <w:sz w:val="18"/>
                <w:szCs w:val="18"/>
              </w:rPr>
              <w:t>N.水利、环境和公共设施管理业</w:t>
            </w:r>
          </w:p>
        </w:tc>
        <w:tc>
          <w:tcPr>
            <w:tcW w:w="2993"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hint="eastAsia"/>
                <w:bCs/>
                <w:color w:val="000000"/>
                <w:kern w:val="0"/>
                <w:sz w:val="18"/>
                <w:szCs w:val="18"/>
              </w:rPr>
              <w:t xml:space="preserve">8.91 </w:t>
            </w:r>
          </w:p>
        </w:tc>
      </w:tr>
      <w:tr w:rsidR="00C3082E" w:rsidTr="00C3082E">
        <w:trPr>
          <w:trHeight w:val="411"/>
          <w:jc w:val="center"/>
        </w:trPr>
        <w:tc>
          <w:tcPr>
            <w:tcW w:w="4399"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color w:val="000000" w:themeColor="text1"/>
                <w:kern w:val="0"/>
                <w:sz w:val="18"/>
                <w:szCs w:val="18"/>
              </w:rPr>
            </w:pPr>
            <w:r>
              <w:rPr>
                <w:rFonts w:ascii="宋体" w:eastAsia="宋体" w:hAnsi="宋体" w:hint="eastAsia"/>
                <w:bCs/>
                <w:color w:val="000000"/>
                <w:kern w:val="0"/>
                <w:sz w:val="18"/>
                <w:szCs w:val="18"/>
              </w:rPr>
              <w:t>O.居民服务、修理和其他服务业</w:t>
            </w:r>
          </w:p>
        </w:tc>
        <w:tc>
          <w:tcPr>
            <w:tcW w:w="2993"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hint="eastAsia"/>
                <w:bCs/>
                <w:color w:val="000000"/>
                <w:kern w:val="0"/>
                <w:sz w:val="18"/>
                <w:szCs w:val="18"/>
              </w:rPr>
              <w:t xml:space="preserve">1148.12 </w:t>
            </w:r>
          </w:p>
        </w:tc>
      </w:tr>
      <w:tr w:rsidR="00C3082E" w:rsidTr="00C3082E">
        <w:trPr>
          <w:trHeight w:val="411"/>
          <w:jc w:val="center"/>
        </w:trPr>
        <w:tc>
          <w:tcPr>
            <w:tcW w:w="4399"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color w:val="000000" w:themeColor="text1"/>
                <w:kern w:val="0"/>
                <w:sz w:val="18"/>
                <w:szCs w:val="18"/>
              </w:rPr>
            </w:pPr>
            <w:r>
              <w:rPr>
                <w:rFonts w:ascii="宋体" w:eastAsia="宋体" w:hAnsi="宋体" w:hint="eastAsia"/>
                <w:bCs/>
                <w:color w:val="000000"/>
                <w:kern w:val="0"/>
                <w:sz w:val="18"/>
                <w:szCs w:val="18"/>
              </w:rPr>
              <w:lastRenderedPageBreak/>
              <w:t>P.教育</w:t>
            </w:r>
          </w:p>
        </w:tc>
        <w:tc>
          <w:tcPr>
            <w:tcW w:w="2993"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hint="eastAsia"/>
                <w:bCs/>
                <w:color w:val="000000"/>
                <w:kern w:val="0"/>
                <w:sz w:val="18"/>
                <w:szCs w:val="18"/>
              </w:rPr>
              <w:t xml:space="preserve">0.00 </w:t>
            </w:r>
          </w:p>
        </w:tc>
      </w:tr>
      <w:tr w:rsidR="00C3082E" w:rsidTr="00C3082E">
        <w:trPr>
          <w:trHeight w:val="411"/>
          <w:jc w:val="center"/>
        </w:trPr>
        <w:tc>
          <w:tcPr>
            <w:tcW w:w="4399"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color w:val="000000" w:themeColor="text1"/>
                <w:kern w:val="0"/>
                <w:sz w:val="18"/>
                <w:szCs w:val="18"/>
              </w:rPr>
            </w:pPr>
            <w:r>
              <w:rPr>
                <w:rFonts w:ascii="宋体" w:eastAsia="宋体" w:hAnsi="宋体" w:hint="eastAsia"/>
                <w:bCs/>
                <w:color w:val="000000"/>
                <w:kern w:val="0"/>
                <w:sz w:val="18"/>
                <w:szCs w:val="18"/>
              </w:rPr>
              <w:t>Q.卫生和社会工作</w:t>
            </w:r>
          </w:p>
        </w:tc>
        <w:tc>
          <w:tcPr>
            <w:tcW w:w="2993"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hint="eastAsia"/>
                <w:bCs/>
                <w:color w:val="000000"/>
                <w:kern w:val="0"/>
                <w:sz w:val="18"/>
                <w:szCs w:val="18"/>
              </w:rPr>
              <w:t xml:space="preserve">43627.24 </w:t>
            </w:r>
          </w:p>
        </w:tc>
      </w:tr>
      <w:tr w:rsidR="00C3082E" w:rsidTr="00C3082E">
        <w:trPr>
          <w:trHeight w:val="411"/>
          <w:jc w:val="center"/>
        </w:trPr>
        <w:tc>
          <w:tcPr>
            <w:tcW w:w="4399"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color w:val="000000" w:themeColor="text1"/>
                <w:kern w:val="0"/>
                <w:sz w:val="18"/>
                <w:szCs w:val="18"/>
              </w:rPr>
            </w:pPr>
            <w:r>
              <w:rPr>
                <w:rFonts w:ascii="宋体" w:eastAsia="宋体" w:hAnsi="宋体" w:hint="eastAsia"/>
                <w:bCs/>
                <w:color w:val="000000"/>
                <w:kern w:val="0"/>
                <w:sz w:val="18"/>
                <w:szCs w:val="18"/>
              </w:rPr>
              <w:t>R.文化、体育和娱乐业</w:t>
            </w:r>
          </w:p>
        </w:tc>
        <w:tc>
          <w:tcPr>
            <w:tcW w:w="2993"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hint="eastAsia"/>
                <w:bCs/>
                <w:color w:val="000000"/>
                <w:kern w:val="0"/>
                <w:sz w:val="18"/>
                <w:szCs w:val="18"/>
              </w:rPr>
              <w:t xml:space="preserve">0.00 </w:t>
            </w:r>
          </w:p>
        </w:tc>
      </w:tr>
      <w:tr w:rsidR="00C3082E" w:rsidTr="00C3082E">
        <w:trPr>
          <w:trHeight w:val="411"/>
          <w:jc w:val="center"/>
        </w:trPr>
        <w:tc>
          <w:tcPr>
            <w:tcW w:w="4399"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color w:val="000000" w:themeColor="text1"/>
                <w:kern w:val="0"/>
                <w:sz w:val="18"/>
                <w:szCs w:val="18"/>
              </w:rPr>
            </w:pPr>
            <w:r>
              <w:rPr>
                <w:rFonts w:ascii="宋体" w:eastAsia="宋体" w:hAnsi="宋体" w:hint="eastAsia"/>
                <w:bCs/>
                <w:color w:val="000000"/>
                <w:kern w:val="0"/>
                <w:sz w:val="18"/>
                <w:szCs w:val="18"/>
              </w:rPr>
              <w:t>S.公共管理、社会保障和社会组织</w:t>
            </w:r>
          </w:p>
        </w:tc>
        <w:tc>
          <w:tcPr>
            <w:tcW w:w="2993"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hint="eastAsia"/>
                <w:bCs/>
                <w:color w:val="000000"/>
                <w:kern w:val="0"/>
                <w:sz w:val="18"/>
                <w:szCs w:val="18"/>
              </w:rPr>
              <w:t xml:space="preserve">0.00 </w:t>
            </w:r>
          </w:p>
        </w:tc>
      </w:tr>
      <w:tr w:rsidR="00C3082E" w:rsidTr="00C3082E">
        <w:trPr>
          <w:trHeight w:val="411"/>
          <w:jc w:val="center"/>
        </w:trPr>
        <w:tc>
          <w:tcPr>
            <w:tcW w:w="4399"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color w:val="000000" w:themeColor="text1"/>
                <w:kern w:val="0"/>
                <w:sz w:val="18"/>
                <w:szCs w:val="18"/>
              </w:rPr>
            </w:pPr>
            <w:r>
              <w:rPr>
                <w:rFonts w:ascii="宋体" w:eastAsia="宋体" w:hAnsi="宋体" w:hint="eastAsia"/>
                <w:bCs/>
                <w:color w:val="000000"/>
                <w:kern w:val="0"/>
                <w:sz w:val="18"/>
                <w:szCs w:val="18"/>
              </w:rPr>
              <w:t>T.国际组织</w:t>
            </w:r>
          </w:p>
        </w:tc>
        <w:tc>
          <w:tcPr>
            <w:tcW w:w="2993"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hint="eastAsia"/>
                <w:bCs/>
                <w:color w:val="000000"/>
                <w:kern w:val="0"/>
                <w:sz w:val="18"/>
                <w:szCs w:val="18"/>
              </w:rPr>
              <w:t xml:space="preserve">0.00 </w:t>
            </w:r>
          </w:p>
        </w:tc>
      </w:tr>
      <w:tr w:rsidR="00C3082E" w:rsidTr="00C3082E">
        <w:trPr>
          <w:trHeight w:val="429"/>
          <w:jc w:val="center"/>
        </w:trPr>
        <w:tc>
          <w:tcPr>
            <w:tcW w:w="4399"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color w:val="000000" w:themeColor="text1"/>
                <w:kern w:val="0"/>
                <w:sz w:val="18"/>
                <w:szCs w:val="18"/>
              </w:rPr>
            </w:pPr>
            <w:r>
              <w:rPr>
                <w:rFonts w:ascii="宋体" w:eastAsia="宋体" w:hAnsi="宋体" w:hint="eastAsia"/>
                <w:bCs/>
                <w:color w:val="000000"/>
                <w:kern w:val="0"/>
                <w:sz w:val="18"/>
                <w:szCs w:val="18"/>
              </w:rPr>
              <w:t>总计</w:t>
            </w:r>
          </w:p>
        </w:tc>
        <w:tc>
          <w:tcPr>
            <w:tcW w:w="2993" w:type="dxa"/>
            <w:tcBorders>
              <w:top w:val="single" w:sz="4" w:space="0" w:color="000000"/>
              <w:left w:val="single" w:sz="4" w:space="0" w:color="000000"/>
              <w:bottom w:val="single" w:sz="4" w:space="0" w:color="000000"/>
              <w:right w:val="single" w:sz="4" w:space="0" w:color="000000"/>
            </w:tcBorders>
            <w:noWrap/>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hint="eastAsia"/>
                <w:bCs/>
                <w:color w:val="000000"/>
                <w:kern w:val="0"/>
                <w:sz w:val="18"/>
                <w:szCs w:val="18"/>
              </w:rPr>
              <w:t xml:space="preserve">121218.23 </w:t>
            </w:r>
          </w:p>
        </w:tc>
      </w:tr>
    </w:tbl>
    <w:p w:rsidR="00EE0247" w:rsidRDefault="007240D0">
      <w:pPr>
        <w:ind w:firstLine="640"/>
        <w:rPr>
          <w:rFonts w:cs="Times New Roman"/>
          <w:color w:val="000000" w:themeColor="text1"/>
        </w:rPr>
      </w:pPr>
      <w:r>
        <w:rPr>
          <w:rFonts w:cs="Times New Roman"/>
          <w:color w:val="000000" w:themeColor="text1"/>
        </w:rPr>
        <w:br w:type="page"/>
      </w:r>
    </w:p>
    <w:p w:rsidR="00EE0247" w:rsidRDefault="007240D0">
      <w:pPr>
        <w:pStyle w:val="1"/>
        <w:rPr>
          <w:rFonts w:cs="Times New Roman"/>
        </w:rPr>
      </w:pPr>
      <w:bookmarkStart w:id="33" w:name="_Toc206595332"/>
      <w:r>
        <w:rPr>
          <w:rFonts w:cs="Times New Roman"/>
        </w:rPr>
        <w:lastRenderedPageBreak/>
        <w:t>第八章</w:t>
      </w:r>
      <w:r>
        <w:rPr>
          <w:rFonts w:cs="Times New Roman"/>
        </w:rPr>
        <w:t xml:space="preserve"> </w:t>
      </w:r>
      <w:r>
        <w:rPr>
          <w:rFonts w:cs="Times New Roman"/>
        </w:rPr>
        <w:t>绿色资产的节能减排</w:t>
      </w:r>
      <w:bookmarkEnd w:id="33"/>
    </w:p>
    <w:p w:rsidR="00EE0247" w:rsidRDefault="007240D0">
      <w:pPr>
        <w:pStyle w:val="2"/>
        <w:rPr>
          <w:rFonts w:ascii="Times New Roman" w:hAnsi="Times New Roman" w:hint="default"/>
        </w:rPr>
      </w:pPr>
      <w:bookmarkStart w:id="34" w:name="_Toc206595333"/>
      <w:r>
        <w:rPr>
          <w:rFonts w:ascii="Times New Roman" w:hAnsi="Times New Roman" w:hint="default"/>
        </w:rPr>
        <w:t xml:space="preserve">8.1 </w:t>
      </w:r>
      <w:bookmarkStart w:id="35" w:name="_Toc22523"/>
      <w:r>
        <w:rPr>
          <w:rFonts w:ascii="Times New Roman" w:hAnsi="Times New Roman" w:hint="default"/>
        </w:rPr>
        <w:t>绿色产业</w:t>
      </w:r>
      <w:bookmarkEnd w:id="34"/>
      <w:bookmarkEnd w:id="35"/>
    </w:p>
    <w:p w:rsidR="00EE0247" w:rsidRDefault="007240D0" w:rsidP="00D241E6">
      <w:pPr>
        <w:widowControl/>
        <w:kinsoku w:val="0"/>
        <w:autoSpaceDE w:val="0"/>
        <w:autoSpaceDN w:val="0"/>
        <w:adjustRightInd w:val="0"/>
        <w:snapToGrid w:val="0"/>
        <w:spacing w:beforeLines="50" w:line="240" w:lineRule="auto"/>
        <w:ind w:firstLine="504"/>
        <w:textAlignment w:val="baseline"/>
        <w:rPr>
          <w:rFonts w:cs="Times New Roman"/>
          <w:b/>
          <w:bCs/>
          <w:color w:val="000000" w:themeColor="text1"/>
          <w:kern w:val="0"/>
          <w:sz w:val="20"/>
          <w:szCs w:val="20"/>
        </w:rPr>
      </w:pPr>
      <w:r>
        <w:rPr>
          <w:rFonts w:eastAsia="仿宋" w:cs="Times New Roman"/>
          <w:snapToGrid w:val="0"/>
          <w:color w:val="000000" w:themeColor="text1"/>
          <w:spacing w:val="6"/>
          <w:kern w:val="0"/>
          <w:sz w:val="24"/>
          <w:szCs w:val="24"/>
        </w:rPr>
        <w:t>报告年度内本行绿色信贷支持的六大绿色产业情况如下。</w:t>
      </w:r>
    </w:p>
    <w:p w:rsidR="00EE0247" w:rsidRDefault="007240D0">
      <w:pPr>
        <w:widowControl/>
        <w:spacing w:line="240" w:lineRule="auto"/>
        <w:ind w:firstLineChars="0" w:firstLine="0"/>
        <w:jc w:val="center"/>
        <w:rPr>
          <w:rFonts w:eastAsia="宋体" w:cs="Times New Roman"/>
          <w:b/>
          <w:bCs/>
          <w:color w:val="000000" w:themeColor="text1"/>
          <w:kern w:val="0"/>
          <w:sz w:val="18"/>
          <w:szCs w:val="18"/>
        </w:rPr>
      </w:pPr>
      <w:r>
        <w:rPr>
          <w:rFonts w:eastAsia="宋体" w:cs="Times New Roman"/>
          <w:b/>
          <w:bCs/>
          <w:color w:val="000000" w:themeColor="text1"/>
          <w:kern w:val="0"/>
          <w:sz w:val="18"/>
          <w:szCs w:val="18"/>
        </w:rPr>
        <w:t>8-1</w:t>
      </w:r>
      <w:r>
        <w:rPr>
          <w:rFonts w:eastAsia="宋体" w:cs="Times New Roman"/>
          <w:b/>
          <w:bCs/>
          <w:color w:val="000000" w:themeColor="text1"/>
          <w:kern w:val="0"/>
          <w:sz w:val="18"/>
          <w:szCs w:val="18"/>
        </w:rPr>
        <w:t>绿色信贷（六大绿色产业）</w:t>
      </w:r>
    </w:p>
    <w:tbl>
      <w:tblPr>
        <w:tblW w:w="0" w:type="auto"/>
        <w:jc w:val="center"/>
        <w:tblLook w:val="04A0"/>
      </w:tblPr>
      <w:tblGrid>
        <w:gridCol w:w="1296"/>
        <w:gridCol w:w="2736"/>
        <w:gridCol w:w="1421"/>
        <w:gridCol w:w="1421"/>
        <w:gridCol w:w="1421"/>
        <w:gridCol w:w="1421"/>
        <w:gridCol w:w="1823"/>
        <w:gridCol w:w="1020"/>
        <w:gridCol w:w="1071"/>
      </w:tblGrid>
      <w:tr w:rsidR="00EE0247" w:rsidTr="00C3082E">
        <w:trPr>
          <w:trHeight w:val="516"/>
          <w:jc w:val="center"/>
        </w:trPr>
        <w:tc>
          <w:tcPr>
            <w:tcW w:w="0" w:type="auto"/>
            <w:gridSpan w:val="2"/>
            <w:vMerge w:val="restart"/>
            <w:tcBorders>
              <w:top w:val="single" w:sz="4" w:space="0" w:color="000000"/>
              <w:left w:val="single" w:sz="4" w:space="0" w:color="000000"/>
              <w:right w:val="single" w:sz="4" w:space="0" w:color="000000"/>
            </w:tcBorders>
            <w:shd w:val="clear" w:color="auto" w:fill="auto"/>
            <w:vAlign w:val="center"/>
          </w:tcPr>
          <w:p w:rsidR="00EE0247" w:rsidRDefault="007240D0">
            <w:pPr>
              <w:ind w:firstLineChars="0" w:firstLine="0"/>
              <w:jc w:val="center"/>
              <w:rPr>
                <w:rFonts w:cs="Times New Roman"/>
              </w:rPr>
            </w:pPr>
            <w:r>
              <w:rPr>
                <w:rFonts w:eastAsia="宋体" w:cs="Times New Roman"/>
                <w:b/>
                <w:sz w:val="18"/>
              </w:rPr>
              <w:t>指标名称</w:t>
            </w:r>
          </w:p>
        </w:tc>
        <w:tc>
          <w:tcPr>
            <w:tcW w:w="0" w:type="auto"/>
            <w:gridSpan w:val="7"/>
            <w:tcBorders>
              <w:top w:val="single" w:sz="4" w:space="0" w:color="000000"/>
              <w:left w:val="single" w:sz="4" w:space="0" w:color="000000"/>
              <w:bottom w:val="single" w:sz="4" w:space="0" w:color="000000"/>
              <w:right w:val="single" w:sz="4" w:space="0" w:color="000000"/>
            </w:tcBorders>
            <w:shd w:val="clear" w:color="auto" w:fill="auto"/>
            <w:noWrap/>
          </w:tcPr>
          <w:p w:rsidR="00EE0247" w:rsidRDefault="007240D0">
            <w:pPr>
              <w:widowControl/>
              <w:ind w:firstLineChars="0" w:firstLine="0"/>
              <w:jc w:val="center"/>
              <w:textAlignment w:val="top"/>
              <w:rPr>
                <w:rFonts w:eastAsia="宋体" w:cs="Times New Roman"/>
                <w:b/>
                <w:color w:val="000000" w:themeColor="text1"/>
                <w:sz w:val="22"/>
              </w:rPr>
            </w:pPr>
            <w:r>
              <w:rPr>
                <w:rFonts w:eastAsia="宋体" w:cs="Times New Roman"/>
                <w:b/>
                <w:color w:val="000000" w:themeColor="text1"/>
                <w:kern w:val="0"/>
                <w:sz w:val="18"/>
                <w:szCs w:val="18"/>
              </w:rPr>
              <w:t>绿色信贷的节能减排（六大绿色产业）</w:t>
            </w:r>
          </w:p>
        </w:tc>
      </w:tr>
      <w:tr w:rsidR="00EE0247" w:rsidTr="00C3082E">
        <w:trPr>
          <w:trHeight w:val="526"/>
          <w:jc w:val="center"/>
        </w:trPr>
        <w:tc>
          <w:tcPr>
            <w:tcW w:w="0" w:type="auto"/>
            <w:gridSpan w:val="2"/>
            <w:vMerge/>
            <w:tcBorders>
              <w:left w:val="single" w:sz="4" w:space="0" w:color="000000"/>
              <w:bottom w:val="single" w:sz="4" w:space="0" w:color="000000"/>
              <w:right w:val="single" w:sz="4" w:space="0" w:color="000000"/>
            </w:tcBorders>
            <w:shd w:val="clear" w:color="auto" w:fill="auto"/>
          </w:tcPr>
          <w:p w:rsidR="00EE0247" w:rsidRDefault="00EE0247">
            <w:pPr>
              <w:ind w:firstLineChars="0" w:firstLine="0"/>
              <w:jc w:val="left"/>
              <w:rPr>
                <w:rFonts w:cs="Times New Roman"/>
                <w:b/>
                <w:color w:val="000000" w:themeColor="text1"/>
                <w:sz w:val="20"/>
                <w:szCs w:val="20"/>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EE0247" w:rsidRDefault="007240D0">
            <w:pPr>
              <w:widowControl/>
              <w:spacing w:line="240" w:lineRule="auto"/>
              <w:ind w:firstLineChars="0" w:firstLine="0"/>
              <w:jc w:val="center"/>
              <w:textAlignment w:val="top"/>
              <w:rPr>
                <w:rFonts w:eastAsia="宋体" w:cs="Times New Roman"/>
                <w:b/>
                <w:color w:val="000000" w:themeColor="text1"/>
                <w:sz w:val="20"/>
                <w:szCs w:val="20"/>
              </w:rPr>
            </w:pPr>
            <w:r>
              <w:rPr>
                <w:rFonts w:eastAsia="宋体" w:cs="Times New Roman"/>
                <w:b/>
                <w:color w:val="000000" w:themeColor="text1"/>
                <w:kern w:val="0"/>
                <w:sz w:val="20"/>
                <w:szCs w:val="20"/>
              </w:rPr>
              <w:t>节能环保产业</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EE0247" w:rsidRDefault="007240D0">
            <w:pPr>
              <w:widowControl/>
              <w:spacing w:line="240" w:lineRule="auto"/>
              <w:ind w:firstLineChars="0" w:firstLine="0"/>
              <w:jc w:val="center"/>
              <w:textAlignment w:val="top"/>
              <w:rPr>
                <w:rFonts w:eastAsia="宋体" w:cs="Times New Roman"/>
                <w:b/>
                <w:color w:val="000000" w:themeColor="text1"/>
                <w:sz w:val="20"/>
                <w:szCs w:val="20"/>
              </w:rPr>
            </w:pPr>
            <w:r>
              <w:rPr>
                <w:rFonts w:eastAsia="宋体" w:cs="Times New Roman"/>
                <w:b/>
                <w:color w:val="000000" w:themeColor="text1"/>
                <w:kern w:val="0"/>
                <w:sz w:val="20"/>
                <w:szCs w:val="20"/>
              </w:rPr>
              <w:t>清洁生产产业</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EE0247" w:rsidRDefault="007240D0">
            <w:pPr>
              <w:widowControl/>
              <w:spacing w:line="240" w:lineRule="auto"/>
              <w:ind w:firstLineChars="0" w:firstLine="0"/>
              <w:jc w:val="center"/>
              <w:textAlignment w:val="top"/>
              <w:rPr>
                <w:rFonts w:eastAsia="宋体" w:cs="Times New Roman"/>
                <w:b/>
                <w:color w:val="000000" w:themeColor="text1"/>
                <w:sz w:val="20"/>
                <w:szCs w:val="20"/>
              </w:rPr>
            </w:pPr>
            <w:r>
              <w:rPr>
                <w:rFonts w:eastAsia="宋体" w:cs="Times New Roman"/>
                <w:b/>
                <w:color w:val="000000" w:themeColor="text1"/>
                <w:kern w:val="0"/>
                <w:sz w:val="20"/>
                <w:szCs w:val="20"/>
              </w:rPr>
              <w:t>清洁能源产业</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EE0247" w:rsidRDefault="007240D0">
            <w:pPr>
              <w:widowControl/>
              <w:spacing w:line="240" w:lineRule="auto"/>
              <w:ind w:firstLineChars="0" w:firstLine="0"/>
              <w:jc w:val="center"/>
              <w:textAlignment w:val="top"/>
              <w:rPr>
                <w:rFonts w:eastAsia="宋体" w:cs="Times New Roman"/>
                <w:b/>
                <w:color w:val="000000" w:themeColor="text1"/>
                <w:sz w:val="20"/>
                <w:szCs w:val="20"/>
              </w:rPr>
            </w:pPr>
            <w:r>
              <w:rPr>
                <w:rFonts w:eastAsia="宋体" w:cs="Times New Roman"/>
                <w:b/>
                <w:color w:val="000000" w:themeColor="text1"/>
                <w:kern w:val="0"/>
                <w:sz w:val="20"/>
                <w:szCs w:val="20"/>
              </w:rPr>
              <w:t>生态环境产业</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EE0247" w:rsidRDefault="007240D0">
            <w:pPr>
              <w:widowControl/>
              <w:spacing w:line="240" w:lineRule="auto"/>
              <w:ind w:firstLineChars="0" w:firstLine="0"/>
              <w:jc w:val="center"/>
              <w:textAlignment w:val="top"/>
              <w:rPr>
                <w:rFonts w:eastAsia="宋体" w:cs="Times New Roman"/>
                <w:b/>
                <w:color w:val="000000" w:themeColor="text1"/>
                <w:sz w:val="20"/>
                <w:szCs w:val="20"/>
              </w:rPr>
            </w:pPr>
            <w:r>
              <w:rPr>
                <w:rFonts w:eastAsia="宋体" w:cs="Times New Roman"/>
                <w:b/>
                <w:color w:val="000000" w:themeColor="text1"/>
                <w:kern w:val="0"/>
                <w:sz w:val="20"/>
                <w:szCs w:val="20"/>
              </w:rPr>
              <w:t>基础设施绿色升级</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EE0247" w:rsidRDefault="007240D0">
            <w:pPr>
              <w:widowControl/>
              <w:spacing w:line="240" w:lineRule="auto"/>
              <w:ind w:firstLineChars="0" w:firstLine="0"/>
              <w:jc w:val="center"/>
              <w:textAlignment w:val="top"/>
              <w:rPr>
                <w:rFonts w:eastAsia="宋体" w:cs="Times New Roman"/>
                <w:b/>
                <w:color w:val="000000" w:themeColor="text1"/>
                <w:sz w:val="20"/>
                <w:szCs w:val="20"/>
              </w:rPr>
            </w:pPr>
            <w:r>
              <w:rPr>
                <w:rFonts w:eastAsia="宋体" w:cs="Times New Roman"/>
                <w:b/>
                <w:color w:val="000000" w:themeColor="text1"/>
                <w:kern w:val="0"/>
                <w:sz w:val="20"/>
                <w:szCs w:val="20"/>
              </w:rPr>
              <w:t>绿色服务</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EE0247" w:rsidRDefault="007240D0">
            <w:pPr>
              <w:widowControl/>
              <w:spacing w:line="240" w:lineRule="auto"/>
              <w:ind w:firstLineChars="0" w:firstLine="0"/>
              <w:jc w:val="center"/>
              <w:textAlignment w:val="top"/>
              <w:rPr>
                <w:rFonts w:eastAsia="宋体" w:cs="Times New Roman"/>
                <w:b/>
                <w:color w:val="000000" w:themeColor="text1"/>
                <w:sz w:val="18"/>
                <w:szCs w:val="18"/>
              </w:rPr>
            </w:pPr>
            <w:r>
              <w:rPr>
                <w:rFonts w:eastAsia="宋体" w:cs="Times New Roman"/>
                <w:b/>
                <w:color w:val="000000" w:themeColor="text1"/>
                <w:kern w:val="0"/>
                <w:sz w:val="18"/>
                <w:szCs w:val="18"/>
              </w:rPr>
              <w:t>合计</w:t>
            </w:r>
          </w:p>
        </w:tc>
      </w:tr>
      <w:tr w:rsidR="00C3082E" w:rsidTr="00C3082E">
        <w:trPr>
          <w:trHeight w:val="386"/>
          <w:jc w:val="center"/>
        </w:trPr>
        <w:tc>
          <w:tcPr>
            <w:tcW w:w="0" w:type="auto"/>
            <w:vMerge w:val="restart"/>
            <w:tcBorders>
              <w:top w:val="single" w:sz="4" w:space="0" w:color="000000"/>
              <w:left w:val="single" w:sz="4" w:space="0" w:color="000000"/>
              <w:right w:val="single" w:sz="4" w:space="0" w:color="000000"/>
            </w:tcBorders>
            <w:shd w:val="clear" w:color="auto" w:fill="auto"/>
            <w:vAlign w:val="center"/>
          </w:tcPr>
          <w:p w:rsidR="00C3082E" w:rsidRDefault="00C3082E" w:rsidP="00C3082E">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绿色信贷占比</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绿色信贷占比（</w:t>
            </w:r>
            <w:r>
              <w:rPr>
                <w:rFonts w:eastAsia="宋体" w:cs="Times New Roman"/>
                <w:bCs/>
                <w:color w:val="000000"/>
                <w:kern w:val="0"/>
                <w:sz w:val="18"/>
                <w:szCs w:val="18"/>
              </w:rPr>
              <w:t>%</w:t>
            </w:r>
            <w:r>
              <w:rPr>
                <w:rFonts w:eastAsia="宋体" w:cs="Times New Roman"/>
                <w:bCs/>
                <w:color w:val="000000"/>
                <w:kern w:val="0"/>
                <w:sz w:val="18"/>
                <w:szCs w:val="18"/>
              </w:rPr>
              <w:t>）</w:t>
            </w:r>
          </w:p>
        </w:tc>
        <w:tc>
          <w:tcPr>
            <w:tcW w:w="142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0.08%</w:t>
            </w:r>
          </w:p>
        </w:tc>
        <w:tc>
          <w:tcPr>
            <w:tcW w:w="142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0.00%</w:t>
            </w:r>
          </w:p>
        </w:tc>
        <w:tc>
          <w:tcPr>
            <w:tcW w:w="142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0.30%</w:t>
            </w:r>
          </w:p>
        </w:tc>
        <w:tc>
          <w:tcPr>
            <w:tcW w:w="142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2.16%</w:t>
            </w:r>
          </w:p>
        </w:tc>
        <w:tc>
          <w:tcPr>
            <w:tcW w:w="18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0.63%</w:t>
            </w:r>
          </w:p>
        </w:tc>
        <w:tc>
          <w:tcPr>
            <w:tcW w:w="102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0.00%</w:t>
            </w:r>
          </w:p>
        </w:tc>
        <w:tc>
          <w:tcPr>
            <w:tcW w:w="10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3.17%</w:t>
            </w:r>
          </w:p>
        </w:tc>
      </w:tr>
      <w:tr w:rsidR="00C3082E" w:rsidTr="00C3082E">
        <w:trPr>
          <w:trHeight w:val="386"/>
          <w:jc w:val="center"/>
        </w:trPr>
        <w:tc>
          <w:tcPr>
            <w:tcW w:w="0" w:type="auto"/>
            <w:vMerge/>
            <w:tcBorders>
              <w:left w:val="single" w:sz="4" w:space="0" w:color="000000"/>
              <w:right w:val="single" w:sz="4" w:space="0" w:color="000000"/>
            </w:tcBorders>
            <w:shd w:val="clear" w:color="auto" w:fill="auto"/>
            <w:vAlign w:val="center"/>
          </w:tcPr>
          <w:p w:rsidR="00C3082E" w:rsidRDefault="00C3082E" w:rsidP="00FF4E9E">
            <w:pPr>
              <w:ind w:firstLine="360"/>
              <w:jc w:val="center"/>
              <w:rPr>
                <w:rFonts w:eastAsia="宋体" w:cs="Times New Roman"/>
                <w:bCs/>
                <w:color w:val="000000"/>
                <w:kern w:val="0"/>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绿色信贷不良贷款余额（万元）</w:t>
            </w:r>
          </w:p>
        </w:tc>
        <w:tc>
          <w:tcPr>
            <w:tcW w:w="14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0</w:t>
            </w:r>
          </w:p>
        </w:tc>
        <w:tc>
          <w:tcPr>
            <w:tcW w:w="14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0</w:t>
            </w:r>
          </w:p>
        </w:tc>
        <w:tc>
          <w:tcPr>
            <w:tcW w:w="14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0</w:t>
            </w:r>
          </w:p>
        </w:tc>
        <w:tc>
          <w:tcPr>
            <w:tcW w:w="14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0</w:t>
            </w:r>
          </w:p>
        </w:tc>
        <w:tc>
          <w:tcPr>
            <w:tcW w:w="18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0</w:t>
            </w:r>
          </w:p>
        </w:tc>
        <w:tc>
          <w:tcPr>
            <w:tcW w:w="10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0</w:t>
            </w:r>
          </w:p>
        </w:tc>
        <w:tc>
          <w:tcPr>
            <w:tcW w:w="107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0</w:t>
            </w:r>
          </w:p>
        </w:tc>
      </w:tr>
      <w:tr w:rsidR="00C3082E" w:rsidTr="00C3082E">
        <w:trPr>
          <w:trHeight w:val="386"/>
          <w:jc w:val="center"/>
        </w:trPr>
        <w:tc>
          <w:tcPr>
            <w:tcW w:w="0" w:type="auto"/>
            <w:vMerge/>
            <w:tcBorders>
              <w:left w:val="single" w:sz="4" w:space="0" w:color="000000"/>
              <w:bottom w:val="single" w:sz="4" w:space="0" w:color="000000"/>
              <w:right w:val="single" w:sz="4" w:space="0" w:color="000000"/>
            </w:tcBorders>
            <w:shd w:val="clear" w:color="auto" w:fill="auto"/>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绿色信贷不良率（</w:t>
            </w:r>
            <w:r>
              <w:rPr>
                <w:rFonts w:eastAsia="宋体" w:cs="Times New Roman"/>
                <w:bCs/>
                <w:color w:val="000000"/>
                <w:kern w:val="0"/>
                <w:sz w:val="18"/>
                <w:szCs w:val="18"/>
              </w:rPr>
              <w:t>%</w:t>
            </w:r>
            <w:r>
              <w:rPr>
                <w:rFonts w:eastAsia="宋体" w:cs="Times New Roman"/>
                <w:bCs/>
                <w:color w:val="000000"/>
                <w:kern w:val="0"/>
                <w:sz w:val="18"/>
                <w:szCs w:val="18"/>
              </w:rPr>
              <w:t>）</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3082E" w:rsidRDefault="00C3082E">
            <w:pPr>
              <w:widowControl/>
              <w:spacing w:line="240" w:lineRule="auto"/>
              <w:ind w:firstLineChars="0" w:firstLine="0"/>
              <w:jc w:val="center"/>
              <w:rPr>
                <w:rFonts w:eastAsia="宋体" w:cs="Times New Roman"/>
                <w:bCs/>
                <w:color w:val="000000"/>
                <w:kern w:val="0"/>
                <w:sz w:val="18"/>
                <w:szCs w:val="18"/>
              </w:rPr>
            </w:pPr>
            <w:r>
              <w:rPr>
                <w:rFonts w:eastAsia="宋体" w:cs="Times New Roman"/>
                <w:bCs/>
                <w:color w:val="000000"/>
                <w:kern w:val="0"/>
                <w:sz w:val="18"/>
                <w:szCs w:val="18"/>
              </w:rPr>
              <w:t>0%</w:t>
            </w:r>
          </w:p>
        </w:tc>
      </w:tr>
    </w:tbl>
    <w:p w:rsidR="00EE0247" w:rsidRDefault="00EE0247"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p>
    <w:p w:rsidR="00EE0247" w:rsidRDefault="00EE0247">
      <w:pPr>
        <w:ind w:firstLineChars="0" w:firstLine="0"/>
        <w:rPr>
          <w:rFonts w:eastAsia="仿宋" w:cs="Times New Roman"/>
          <w:b/>
          <w:bCs/>
          <w:snapToGrid w:val="0"/>
          <w:color w:val="000000" w:themeColor="text1"/>
          <w:spacing w:val="6"/>
          <w:kern w:val="0"/>
          <w:sz w:val="24"/>
          <w:szCs w:val="24"/>
        </w:rPr>
      </w:pPr>
    </w:p>
    <w:p w:rsidR="00EE0247" w:rsidRDefault="00EE0247">
      <w:pPr>
        <w:pStyle w:val="1"/>
        <w:rPr>
          <w:rFonts w:cs="Times New Roman"/>
        </w:rPr>
        <w:sectPr w:rsidR="00EE0247">
          <w:headerReference w:type="even" r:id="rId24"/>
          <w:headerReference w:type="default" r:id="rId25"/>
          <w:headerReference w:type="first" r:id="rId26"/>
          <w:pgSz w:w="16838" w:h="11906" w:orient="landscape"/>
          <w:pgMar w:top="1338" w:right="998" w:bottom="998" w:left="1451" w:header="851" w:footer="992" w:gutter="0"/>
          <w:cols w:space="0"/>
          <w:docGrid w:type="lines" w:linePitch="435"/>
        </w:sectPr>
      </w:pPr>
    </w:p>
    <w:p w:rsidR="00EE0247" w:rsidRDefault="007240D0">
      <w:pPr>
        <w:pStyle w:val="1"/>
        <w:rPr>
          <w:rFonts w:cs="Times New Roman"/>
        </w:rPr>
      </w:pPr>
      <w:bookmarkStart w:id="36" w:name="_Toc206595334"/>
      <w:r>
        <w:rPr>
          <w:rFonts w:cs="Times New Roman"/>
        </w:rPr>
        <w:lastRenderedPageBreak/>
        <w:t>第九章</w:t>
      </w:r>
      <w:r>
        <w:rPr>
          <w:rFonts w:cs="Times New Roman"/>
        </w:rPr>
        <w:t xml:space="preserve"> </w:t>
      </w:r>
      <w:r>
        <w:rPr>
          <w:rFonts w:cs="Times New Roman"/>
        </w:rPr>
        <w:t>创新及研究</w:t>
      </w:r>
      <w:bookmarkEnd w:id="36"/>
    </w:p>
    <w:p w:rsidR="00EE0247" w:rsidRDefault="007240D0">
      <w:pPr>
        <w:pStyle w:val="2"/>
        <w:rPr>
          <w:rFonts w:ascii="Times New Roman" w:hAnsi="Times New Roman" w:hint="default"/>
        </w:rPr>
      </w:pPr>
      <w:bookmarkStart w:id="37" w:name="_Toc206595335"/>
      <w:r>
        <w:rPr>
          <w:rFonts w:ascii="Times New Roman" w:hAnsi="Times New Roman" w:hint="default"/>
        </w:rPr>
        <w:t xml:space="preserve">9.1 </w:t>
      </w:r>
      <w:r>
        <w:rPr>
          <w:rFonts w:ascii="Times New Roman" w:hAnsi="Times New Roman" w:hint="default"/>
        </w:rPr>
        <w:t>绿色金融创新实践案例</w:t>
      </w:r>
      <w:bookmarkEnd w:id="37"/>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句容农商银行在做好自身主责主业的基础上积极响应政策，以金融</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活水</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助力生态文明建设，高质量打造</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绿色银行</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特色品牌，发挥绿色金融在推动经济社会发展全面绿色转型中的作用。</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本行创新推出绿色金融特色产品。如</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环保贷</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，中小</w:t>
      </w:r>
      <w:proofErr w:type="gramStart"/>
      <w:r>
        <w:rPr>
          <w:rFonts w:eastAsia="仿宋" w:cs="Times New Roman"/>
          <w:snapToGrid w:val="0"/>
          <w:color w:val="000000" w:themeColor="text1"/>
          <w:spacing w:val="6"/>
          <w:kern w:val="0"/>
          <w:sz w:val="24"/>
          <w:szCs w:val="24"/>
        </w:rPr>
        <w:t>微企业</w:t>
      </w:r>
      <w:proofErr w:type="gramEnd"/>
      <w:r>
        <w:rPr>
          <w:rFonts w:eastAsia="仿宋" w:cs="Times New Roman"/>
          <w:snapToGrid w:val="0"/>
          <w:color w:val="000000" w:themeColor="text1"/>
          <w:spacing w:val="6"/>
          <w:kern w:val="0"/>
          <w:sz w:val="24"/>
          <w:szCs w:val="24"/>
        </w:rPr>
        <w:t>在环保问题上有很大的融资需求，</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环保贷</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产品的推出很大程度上缓解了企业融资困难的问题，有助于推动相关企业爬坡过坎、高质量发展。还陆续打造了</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碳汇预期收益权质押贷款</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排权贷</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等产品。目前，已落地镇江首笔</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碳汇预期收益权质押贷款</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，金额</w:t>
      </w:r>
      <w:r>
        <w:rPr>
          <w:rFonts w:eastAsia="仿宋" w:cs="Times New Roman"/>
          <w:snapToGrid w:val="0"/>
          <w:color w:val="000000" w:themeColor="text1"/>
          <w:spacing w:val="6"/>
          <w:kern w:val="0"/>
          <w:sz w:val="24"/>
          <w:szCs w:val="24"/>
        </w:rPr>
        <w:t>100</w:t>
      </w:r>
      <w:r>
        <w:rPr>
          <w:rFonts w:eastAsia="仿宋" w:cs="Times New Roman"/>
          <w:snapToGrid w:val="0"/>
          <w:color w:val="000000" w:themeColor="text1"/>
          <w:spacing w:val="6"/>
          <w:kern w:val="0"/>
          <w:sz w:val="24"/>
          <w:szCs w:val="24"/>
        </w:rPr>
        <w:t>万元。</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为挖掘绿色金融</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新潜力</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本行还不断创新机制，建立科学有效、公正严谨、制衡监督的尽职免责工作体系，适度提高绿色信贷业务风险容忍度，充分授权，高效决策，激发业务活力，增强绿色金融可得性；及时制定差异化绿色信贷方案，因地制宜，深入分析特色绿色产业与绿色客</w:t>
      </w:r>
      <w:proofErr w:type="gramStart"/>
      <w:r>
        <w:rPr>
          <w:rFonts w:eastAsia="仿宋" w:cs="Times New Roman"/>
          <w:snapToGrid w:val="0"/>
          <w:color w:val="000000" w:themeColor="text1"/>
          <w:spacing w:val="6"/>
          <w:kern w:val="0"/>
          <w:sz w:val="24"/>
          <w:szCs w:val="24"/>
        </w:rPr>
        <w:t>群金融</w:t>
      </w:r>
      <w:proofErr w:type="gramEnd"/>
      <w:r>
        <w:rPr>
          <w:rFonts w:eastAsia="仿宋" w:cs="Times New Roman"/>
          <w:snapToGrid w:val="0"/>
          <w:color w:val="000000" w:themeColor="text1"/>
          <w:spacing w:val="6"/>
          <w:kern w:val="0"/>
          <w:sz w:val="24"/>
          <w:szCs w:val="24"/>
        </w:rPr>
        <w:t>服务诉求，提供差异化绿色信贷服务。</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snapToGrid w:val="0"/>
          <w:color w:val="000000" w:themeColor="text1"/>
          <w:spacing w:val="6"/>
          <w:kern w:val="0"/>
          <w:sz w:val="24"/>
          <w:szCs w:val="24"/>
        </w:rPr>
        <w:t>为响应中央《推动大规模设备更新和消费品以旧换新行动方案》，</w:t>
      </w:r>
      <w:proofErr w:type="gramStart"/>
      <w:r>
        <w:rPr>
          <w:rFonts w:eastAsia="仿宋" w:cs="Times New Roman"/>
          <w:snapToGrid w:val="0"/>
          <w:color w:val="000000" w:themeColor="text1"/>
          <w:spacing w:val="6"/>
          <w:kern w:val="0"/>
          <w:sz w:val="24"/>
          <w:szCs w:val="24"/>
        </w:rPr>
        <w:t>践行</w:t>
      </w:r>
      <w:proofErr w:type="gramEnd"/>
      <w:r>
        <w:rPr>
          <w:rFonts w:eastAsia="仿宋" w:cs="Times New Roman"/>
          <w:snapToGrid w:val="0"/>
          <w:color w:val="000000" w:themeColor="text1"/>
          <w:spacing w:val="6"/>
          <w:kern w:val="0"/>
          <w:sz w:val="24"/>
          <w:szCs w:val="24"/>
        </w:rPr>
        <w:t>国家倡导的绿色发展理念，我</w:t>
      </w:r>
      <w:proofErr w:type="gramStart"/>
      <w:r>
        <w:rPr>
          <w:rFonts w:eastAsia="仿宋" w:cs="Times New Roman"/>
          <w:snapToGrid w:val="0"/>
          <w:color w:val="000000" w:themeColor="text1"/>
          <w:spacing w:val="6"/>
          <w:kern w:val="0"/>
          <w:sz w:val="24"/>
          <w:szCs w:val="24"/>
        </w:rPr>
        <w:t>行开展</w:t>
      </w:r>
      <w:proofErr w:type="gramEnd"/>
      <w:r>
        <w:rPr>
          <w:rFonts w:eastAsia="仿宋" w:cs="Times New Roman"/>
          <w:snapToGrid w:val="0"/>
          <w:color w:val="000000" w:themeColor="text1"/>
          <w:spacing w:val="6"/>
          <w:kern w:val="0"/>
          <w:sz w:val="24"/>
          <w:szCs w:val="24"/>
        </w:rPr>
        <w:t>本次以旧换新，绿色消费信用卡分期营销活动。鼓励消费者积极参与环保产品（家具、电器、汽车、装修等）购买，用以旧换新实现资源循环利用，推动绿色消费。</w:t>
      </w:r>
    </w:p>
    <w:p w:rsidR="00EE0247" w:rsidRDefault="007240D0">
      <w:pPr>
        <w:pStyle w:val="2"/>
        <w:rPr>
          <w:rFonts w:ascii="Times New Roman" w:hAnsi="Times New Roman" w:hint="default"/>
        </w:rPr>
      </w:pPr>
      <w:bookmarkStart w:id="38" w:name="_Toc206595336"/>
      <w:r>
        <w:rPr>
          <w:rFonts w:ascii="Times New Roman" w:hAnsi="Times New Roman" w:hint="default"/>
        </w:rPr>
        <w:t xml:space="preserve">9.2 </w:t>
      </w:r>
      <w:r>
        <w:rPr>
          <w:rFonts w:ascii="Times New Roman" w:hAnsi="Times New Roman" w:hint="default"/>
        </w:rPr>
        <w:t>绿色金融研究</w:t>
      </w:r>
      <w:bookmarkEnd w:id="38"/>
    </w:p>
    <w:p w:rsidR="00EE0247" w:rsidRDefault="007240D0" w:rsidP="00D241E6">
      <w:pPr>
        <w:widowControl/>
        <w:kinsoku w:val="0"/>
        <w:autoSpaceDE w:val="0"/>
        <w:autoSpaceDN w:val="0"/>
        <w:adjustRightInd w:val="0"/>
        <w:snapToGrid w:val="0"/>
        <w:spacing w:beforeLines="50" w:line="240" w:lineRule="auto"/>
        <w:ind w:firstLine="480"/>
        <w:textAlignment w:val="baseline"/>
        <w:rPr>
          <w:rFonts w:eastAsia="黑体" w:cs="Times New Roman"/>
          <w:color w:val="000000" w:themeColor="text1"/>
          <w:sz w:val="24"/>
          <w:szCs w:val="24"/>
        </w:rPr>
      </w:pPr>
      <w:r>
        <w:rPr>
          <w:rFonts w:eastAsia="黑体" w:cs="Times New Roman"/>
          <w:color w:val="000000" w:themeColor="text1"/>
          <w:sz w:val="24"/>
          <w:szCs w:val="24"/>
        </w:rPr>
        <w:t xml:space="preserve">9.2.1 </w:t>
      </w:r>
      <w:r>
        <w:rPr>
          <w:rFonts w:eastAsia="黑体" w:cs="Times New Roman"/>
          <w:color w:val="000000" w:themeColor="text1"/>
          <w:sz w:val="24"/>
          <w:szCs w:val="24"/>
        </w:rPr>
        <w:t>绿色金融研究</w:t>
      </w:r>
    </w:p>
    <w:p w:rsidR="00EE0247" w:rsidRDefault="007240D0" w:rsidP="00D241E6">
      <w:pPr>
        <w:widowControl/>
        <w:kinsoku w:val="0"/>
        <w:autoSpaceDE w:val="0"/>
        <w:autoSpaceDN w:val="0"/>
        <w:adjustRightInd w:val="0"/>
        <w:snapToGrid w:val="0"/>
        <w:spacing w:beforeLines="50" w:line="240" w:lineRule="auto"/>
        <w:ind w:firstLine="506"/>
        <w:textAlignment w:val="baseline"/>
        <w:rPr>
          <w:rFonts w:eastAsia="仿宋" w:cs="Times New Roman"/>
          <w:snapToGrid w:val="0"/>
          <w:color w:val="000000" w:themeColor="text1"/>
          <w:spacing w:val="6"/>
          <w:kern w:val="0"/>
          <w:sz w:val="24"/>
          <w:szCs w:val="24"/>
        </w:rPr>
      </w:pPr>
      <w:r>
        <w:rPr>
          <w:rFonts w:eastAsia="仿宋" w:cs="Times New Roman"/>
          <w:b/>
          <w:bCs/>
          <w:snapToGrid w:val="0"/>
          <w:color w:val="000000" w:themeColor="text1"/>
          <w:spacing w:val="6"/>
          <w:kern w:val="0"/>
          <w:sz w:val="24"/>
          <w:szCs w:val="24"/>
        </w:rPr>
        <w:t>1</w:t>
      </w:r>
      <w:r>
        <w:rPr>
          <w:rFonts w:eastAsia="仿宋" w:cs="Times New Roman"/>
          <w:b/>
          <w:bCs/>
          <w:snapToGrid w:val="0"/>
          <w:color w:val="000000" w:themeColor="text1"/>
          <w:spacing w:val="6"/>
          <w:kern w:val="0"/>
          <w:sz w:val="24"/>
          <w:szCs w:val="24"/>
        </w:rPr>
        <w:t>）绿色金融政策与趋势研究：</w:t>
      </w:r>
      <w:r>
        <w:rPr>
          <w:rFonts w:eastAsia="仿宋" w:cs="Times New Roman"/>
          <w:snapToGrid w:val="0"/>
          <w:color w:val="000000" w:themeColor="text1"/>
          <w:spacing w:val="6"/>
          <w:kern w:val="0"/>
          <w:sz w:val="24"/>
          <w:szCs w:val="24"/>
        </w:rPr>
        <w:t>本行积极学习《关于构建绿色金融体系的指导意见》（银发〔</w:t>
      </w:r>
      <w:r>
        <w:rPr>
          <w:rFonts w:eastAsia="仿宋" w:cs="Times New Roman"/>
          <w:snapToGrid w:val="0"/>
          <w:color w:val="000000" w:themeColor="text1"/>
          <w:spacing w:val="6"/>
          <w:kern w:val="0"/>
          <w:sz w:val="24"/>
          <w:szCs w:val="24"/>
        </w:rPr>
        <w:t>2016</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228</w:t>
      </w:r>
      <w:r>
        <w:rPr>
          <w:rFonts w:eastAsia="仿宋" w:cs="Times New Roman"/>
          <w:snapToGrid w:val="0"/>
          <w:color w:val="000000" w:themeColor="text1"/>
          <w:spacing w:val="6"/>
          <w:kern w:val="0"/>
          <w:sz w:val="24"/>
          <w:szCs w:val="24"/>
        </w:rPr>
        <w:t>号）、《金融业标准化体系建设发展规划（</w:t>
      </w:r>
      <w:r>
        <w:rPr>
          <w:rFonts w:eastAsia="仿宋" w:cs="Times New Roman"/>
          <w:snapToGrid w:val="0"/>
          <w:color w:val="000000" w:themeColor="text1"/>
          <w:spacing w:val="6"/>
          <w:kern w:val="0"/>
          <w:sz w:val="24"/>
          <w:szCs w:val="24"/>
        </w:rPr>
        <w:t>2016—2020</w:t>
      </w:r>
      <w:r>
        <w:rPr>
          <w:rFonts w:eastAsia="仿宋" w:cs="Times New Roman"/>
          <w:snapToGrid w:val="0"/>
          <w:color w:val="000000" w:themeColor="text1"/>
          <w:spacing w:val="6"/>
          <w:kern w:val="0"/>
          <w:sz w:val="24"/>
          <w:szCs w:val="24"/>
        </w:rPr>
        <w:t>年）》（银发〔</w:t>
      </w:r>
      <w:r>
        <w:rPr>
          <w:rFonts w:eastAsia="仿宋" w:cs="Times New Roman"/>
          <w:snapToGrid w:val="0"/>
          <w:color w:val="000000" w:themeColor="text1"/>
          <w:spacing w:val="6"/>
          <w:kern w:val="0"/>
          <w:sz w:val="24"/>
          <w:szCs w:val="24"/>
        </w:rPr>
        <w:t>2017</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115</w:t>
      </w:r>
      <w:r>
        <w:rPr>
          <w:rFonts w:eastAsia="仿宋" w:cs="Times New Roman"/>
          <w:snapToGrid w:val="0"/>
          <w:color w:val="000000" w:themeColor="text1"/>
          <w:spacing w:val="6"/>
          <w:kern w:val="0"/>
          <w:sz w:val="24"/>
          <w:szCs w:val="24"/>
        </w:rPr>
        <w:t>号）、《绿色信贷指引》</w:t>
      </w:r>
      <w:r>
        <w:rPr>
          <w:rFonts w:eastAsia="仿宋" w:cs="Times New Roman"/>
          <w:snapToGrid w:val="0"/>
          <w:color w:val="000000" w:themeColor="text1"/>
          <w:spacing w:val="6"/>
          <w:kern w:val="0"/>
          <w:sz w:val="24"/>
          <w:szCs w:val="24"/>
        </w:rPr>
        <w:t xml:space="preserve"> </w:t>
      </w:r>
      <w:r>
        <w:rPr>
          <w:rFonts w:eastAsia="仿宋" w:cs="Times New Roman"/>
          <w:snapToGrid w:val="0"/>
          <w:color w:val="000000" w:themeColor="text1"/>
          <w:spacing w:val="6"/>
          <w:kern w:val="0"/>
          <w:sz w:val="24"/>
          <w:szCs w:val="24"/>
        </w:rPr>
        <w:t>（银监发〔</w:t>
      </w:r>
      <w:r>
        <w:rPr>
          <w:rFonts w:eastAsia="仿宋" w:cs="Times New Roman"/>
          <w:snapToGrid w:val="0"/>
          <w:color w:val="000000" w:themeColor="text1"/>
          <w:spacing w:val="6"/>
          <w:kern w:val="0"/>
          <w:sz w:val="24"/>
          <w:szCs w:val="24"/>
        </w:rPr>
        <w:t>2012</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4</w:t>
      </w:r>
      <w:r>
        <w:rPr>
          <w:rFonts w:eastAsia="仿宋" w:cs="Times New Roman"/>
          <w:snapToGrid w:val="0"/>
          <w:color w:val="000000" w:themeColor="text1"/>
          <w:spacing w:val="6"/>
          <w:kern w:val="0"/>
          <w:sz w:val="24"/>
          <w:szCs w:val="24"/>
        </w:rPr>
        <w:t>号）、《绿色信贷实施情况关键评价指标》</w:t>
      </w:r>
      <w:r>
        <w:rPr>
          <w:rFonts w:eastAsia="仿宋" w:cs="Times New Roman"/>
          <w:snapToGrid w:val="0"/>
          <w:color w:val="000000" w:themeColor="text1"/>
          <w:spacing w:val="6"/>
          <w:kern w:val="0"/>
          <w:sz w:val="24"/>
          <w:szCs w:val="24"/>
        </w:rPr>
        <w:t xml:space="preserve"> </w:t>
      </w:r>
      <w:r>
        <w:rPr>
          <w:rFonts w:eastAsia="仿宋" w:cs="Times New Roman"/>
          <w:snapToGrid w:val="0"/>
          <w:color w:val="000000" w:themeColor="text1"/>
          <w:spacing w:val="6"/>
          <w:kern w:val="0"/>
          <w:sz w:val="24"/>
          <w:szCs w:val="24"/>
        </w:rPr>
        <w:t>（银监办发〔</w:t>
      </w:r>
      <w:r>
        <w:rPr>
          <w:rFonts w:eastAsia="仿宋" w:cs="Times New Roman"/>
          <w:snapToGrid w:val="0"/>
          <w:color w:val="000000" w:themeColor="text1"/>
          <w:spacing w:val="6"/>
          <w:kern w:val="0"/>
          <w:sz w:val="24"/>
          <w:szCs w:val="24"/>
        </w:rPr>
        <w:t>2014</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186</w:t>
      </w:r>
      <w:r>
        <w:rPr>
          <w:rFonts w:eastAsia="仿宋" w:cs="Times New Roman"/>
          <w:snapToGrid w:val="0"/>
          <w:color w:val="000000" w:themeColor="text1"/>
          <w:spacing w:val="6"/>
          <w:kern w:val="0"/>
          <w:sz w:val="24"/>
          <w:szCs w:val="24"/>
        </w:rPr>
        <w:t>号）、《关于建立绿色贷款专项统计制度的通知》（银发〔</w:t>
      </w:r>
      <w:r>
        <w:rPr>
          <w:rFonts w:eastAsia="仿宋" w:cs="Times New Roman"/>
          <w:snapToGrid w:val="0"/>
          <w:color w:val="000000" w:themeColor="text1"/>
          <w:spacing w:val="6"/>
          <w:kern w:val="0"/>
          <w:sz w:val="24"/>
          <w:szCs w:val="24"/>
        </w:rPr>
        <w:t>2018</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10</w:t>
      </w:r>
      <w:r>
        <w:rPr>
          <w:rFonts w:eastAsia="仿宋" w:cs="Times New Roman"/>
          <w:snapToGrid w:val="0"/>
          <w:color w:val="000000" w:themeColor="text1"/>
          <w:spacing w:val="6"/>
          <w:kern w:val="0"/>
          <w:sz w:val="24"/>
          <w:szCs w:val="24"/>
        </w:rPr>
        <w:t>号）、《绿色债券评估认证行为指引（暂行）》（人民银行</w:t>
      </w:r>
      <w:r>
        <w:rPr>
          <w:rFonts w:eastAsia="仿宋" w:cs="Times New Roman"/>
          <w:snapToGrid w:val="0"/>
          <w:color w:val="000000" w:themeColor="text1"/>
          <w:spacing w:val="6"/>
          <w:kern w:val="0"/>
          <w:sz w:val="24"/>
          <w:szCs w:val="24"/>
        </w:rPr>
        <w:t xml:space="preserve"> </w:t>
      </w:r>
      <w:r>
        <w:rPr>
          <w:rFonts w:eastAsia="仿宋" w:cs="Times New Roman"/>
          <w:snapToGrid w:val="0"/>
          <w:color w:val="000000" w:themeColor="text1"/>
          <w:spacing w:val="6"/>
          <w:kern w:val="0"/>
          <w:sz w:val="24"/>
          <w:szCs w:val="24"/>
        </w:rPr>
        <w:t>证监会公告〔</w:t>
      </w:r>
      <w:r>
        <w:rPr>
          <w:rFonts w:eastAsia="仿宋" w:cs="Times New Roman"/>
          <w:snapToGrid w:val="0"/>
          <w:color w:val="000000" w:themeColor="text1"/>
          <w:spacing w:val="6"/>
          <w:kern w:val="0"/>
          <w:sz w:val="24"/>
          <w:szCs w:val="24"/>
        </w:rPr>
        <w:t>2017</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20</w:t>
      </w:r>
      <w:r>
        <w:rPr>
          <w:rFonts w:eastAsia="仿宋" w:cs="Times New Roman"/>
          <w:snapToGrid w:val="0"/>
          <w:color w:val="000000" w:themeColor="text1"/>
          <w:spacing w:val="6"/>
          <w:kern w:val="0"/>
          <w:sz w:val="24"/>
          <w:szCs w:val="24"/>
        </w:rPr>
        <w:t>号）、《金融机构环境信息披露指南》（</w:t>
      </w:r>
      <w:r>
        <w:rPr>
          <w:rFonts w:eastAsia="仿宋" w:cs="Times New Roman"/>
          <w:snapToGrid w:val="0"/>
          <w:color w:val="000000" w:themeColor="text1"/>
          <w:spacing w:val="6"/>
          <w:kern w:val="0"/>
          <w:sz w:val="24"/>
          <w:szCs w:val="24"/>
        </w:rPr>
        <w:t>JR/T 0227-2021</w:t>
      </w:r>
      <w:r>
        <w:rPr>
          <w:rFonts w:eastAsia="仿宋" w:cs="Times New Roman"/>
          <w:snapToGrid w:val="0"/>
          <w:color w:val="000000" w:themeColor="text1"/>
          <w:spacing w:val="6"/>
          <w:kern w:val="0"/>
          <w:sz w:val="24"/>
          <w:szCs w:val="24"/>
        </w:rPr>
        <w:t>）、《金融机构碳核算技术指南（试行）》（银办发〔</w:t>
      </w:r>
      <w:r>
        <w:rPr>
          <w:rFonts w:eastAsia="仿宋" w:cs="Times New Roman"/>
          <w:snapToGrid w:val="0"/>
          <w:color w:val="000000" w:themeColor="text1"/>
          <w:spacing w:val="6"/>
          <w:kern w:val="0"/>
          <w:sz w:val="24"/>
          <w:szCs w:val="24"/>
        </w:rPr>
        <w:t>2021</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119</w:t>
      </w:r>
      <w:r>
        <w:rPr>
          <w:rFonts w:eastAsia="仿宋" w:cs="Times New Roman"/>
          <w:snapToGrid w:val="0"/>
          <w:color w:val="000000" w:themeColor="text1"/>
          <w:spacing w:val="6"/>
          <w:kern w:val="0"/>
          <w:sz w:val="24"/>
          <w:szCs w:val="24"/>
        </w:rPr>
        <w:t>号）和《江苏省银行业金融机构环境信息披露指引》（苏银发〔</w:t>
      </w:r>
      <w:r>
        <w:rPr>
          <w:rFonts w:eastAsia="仿宋" w:cs="Times New Roman"/>
          <w:snapToGrid w:val="0"/>
          <w:color w:val="000000" w:themeColor="text1"/>
          <w:spacing w:val="6"/>
          <w:kern w:val="0"/>
          <w:sz w:val="24"/>
          <w:szCs w:val="24"/>
        </w:rPr>
        <w:t>2024</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49</w:t>
      </w:r>
      <w:r>
        <w:rPr>
          <w:rFonts w:eastAsia="仿宋" w:cs="Times New Roman"/>
          <w:snapToGrid w:val="0"/>
          <w:color w:val="000000" w:themeColor="text1"/>
          <w:spacing w:val="6"/>
          <w:kern w:val="0"/>
          <w:sz w:val="24"/>
          <w:szCs w:val="24"/>
        </w:rPr>
        <w:t>号）等绿色金融政策文件，对国内外绿色金融政策标准进行深入分析，把握绿色金融发展的最新趋势，明确了本行绿色金融的发展目标和重点任务，为全行绿色金融业务的推进提供了最新的战略指引。</w:t>
      </w:r>
    </w:p>
    <w:p w:rsidR="00EE0247" w:rsidRDefault="007240D0" w:rsidP="00D241E6">
      <w:pPr>
        <w:widowControl/>
        <w:kinsoku w:val="0"/>
        <w:autoSpaceDE w:val="0"/>
        <w:autoSpaceDN w:val="0"/>
        <w:adjustRightInd w:val="0"/>
        <w:snapToGrid w:val="0"/>
        <w:spacing w:beforeLines="50" w:line="240" w:lineRule="auto"/>
        <w:ind w:firstLine="506"/>
        <w:textAlignment w:val="baseline"/>
        <w:rPr>
          <w:rFonts w:eastAsia="仿宋" w:cs="Times New Roman"/>
          <w:snapToGrid w:val="0"/>
          <w:color w:val="000000" w:themeColor="text1"/>
          <w:spacing w:val="6"/>
          <w:kern w:val="0"/>
          <w:sz w:val="24"/>
          <w:szCs w:val="24"/>
        </w:rPr>
      </w:pPr>
      <w:r>
        <w:rPr>
          <w:rFonts w:eastAsia="仿宋" w:cs="Times New Roman"/>
          <w:b/>
          <w:bCs/>
          <w:snapToGrid w:val="0"/>
          <w:color w:val="000000" w:themeColor="text1"/>
          <w:spacing w:val="6"/>
          <w:kern w:val="0"/>
          <w:sz w:val="24"/>
          <w:szCs w:val="24"/>
        </w:rPr>
        <w:t>2</w:t>
      </w:r>
      <w:r>
        <w:rPr>
          <w:rFonts w:eastAsia="仿宋" w:cs="Times New Roman"/>
          <w:b/>
          <w:bCs/>
          <w:snapToGrid w:val="0"/>
          <w:color w:val="000000" w:themeColor="text1"/>
          <w:spacing w:val="6"/>
          <w:kern w:val="0"/>
          <w:sz w:val="24"/>
          <w:szCs w:val="24"/>
        </w:rPr>
        <w:t>）绿色金融产品与服务创新研究：</w:t>
      </w:r>
      <w:r>
        <w:rPr>
          <w:rFonts w:eastAsia="仿宋" w:cs="Times New Roman"/>
          <w:snapToGrid w:val="0"/>
          <w:color w:val="000000" w:themeColor="text1"/>
          <w:spacing w:val="6"/>
          <w:kern w:val="0"/>
          <w:sz w:val="24"/>
          <w:szCs w:val="24"/>
        </w:rPr>
        <w:t>探索绿色信贷、绿色债券等绿色金融产品的创新路径，针对</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三农</w:t>
      </w:r>
      <w:r>
        <w:rPr>
          <w:rFonts w:eastAsia="仿宋" w:cs="Times New Roman"/>
          <w:snapToGrid w:val="0"/>
          <w:color w:val="000000" w:themeColor="text1"/>
          <w:spacing w:val="6"/>
          <w:kern w:val="0"/>
          <w:sz w:val="24"/>
          <w:szCs w:val="24"/>
        </w:rPr>
        <w:t>”</w:t>
      </w:r>
      <w:r>
        <w:rPr>
          <w:rFonts w:eastAsia="仿宋" w:cs="Times New Roman"/>
          <w:snapToGrid w:val="0"/>
          <w:color w:val="000000" w:themeColor="text1"/>
          <w:spacing w:val="6"/>
          <w:kern w:val="0"/>
          <w:sz w:val="24"/>
          <w:szCs w:val="24"/>
        </w:rPr>
        <w:t>、小</w:t>
      </w:r>
      <w:proofErr w:type="gramStart"/>
      <w:r>
        <w:rPr>
          <w:rFonts w:eastAsia="仿宋" w:cs="Times New Roman"/>
          <w:snapToGrid w:val="0"/>
          <w:color w:val="000000" w:themeColor="text1"/>
          <w:spacing w:val="6"/>
          <w:kern w:val="0"/>
          <w:sz w:val="24"/>
          <w:szCs w:val="24"/>
        </w:rPr>
        <w:t>微企业</w:t>
      </w:r>
      <w:proofErr w:type="gramEnd"/>
      <w:r>
        <w:rPr>
          <w:rFonts w:eastAsia="仿宋" w:cs="Times New Roman"/>
          <w:snapToGrid w:val="0"/>
          <w:color w:val="000000" w:themeColor="text1"/>
          <w:spacing w:val="6"/>
          <w:kern w:val="0"/>
          <w:sz w:val="24"/>
          <w:szCs w:val="24"/>
        </w:rPr>
        <w:t>的绿色融资需求，推出了一系列标准化贷款融资模式和低碳金融产品，加大支持节能环保和绿色经济发展。</w:t>
      </w:r>
    </w:p>
    <w:p w:rsidR="00EE0247" w:rsidRDefault="007240D0" w:rsidP="00D241E6">
      <w:pPr>
        <w:widowControl/>
        <w:kinsoku w:val="0"/>
        <w:autoSpaceDE w:val="0"/>
        <w:autoSpaceDN w:val="0"/>
        <w:adjustRightInd w:val="0"/>
        <w:snapToGrid w:val="0"/>
        <w:spacing w:beforeLines="50" w:line="240" w:lineRule="auto"/>
        <w:ind w:firstLine="506"/>
        <w:textAlignment w:val="baseline"/>
        <w:rPr>
          <w:rFonts w:eastAsia="仿宋" w:cs="Times New Roman"/>
          <w:snapToGrid w:val="0"/>
          <w:color w:val="000000" w:themeColor="text1"/>
          <w:spacing w:val="6"/>
          <w:kern w:val="0"/>
          <w:sz w:val="24"/>
          <w:szCs w:val="24"/>
        </w:rPr>
      </w:pPr>
      <w:r>
        <w:rPr>
          <w:rFonts w:eastAsia="仿宋" w:cs="Times New Roman"/>
          <w:b/>
          <w:bCs/>
          <w:snapToGrid w:val="0"/>
          <w:color w:val="000000" w:themeColor="text1"/>
          <w:spacing w:val="6"/>
          <w:kern w:val="0"/>
          <w:sz w:val="24"/>
          <w:szCs w:val="24"/>
        </w:rPr>
        <w:t>3</w:t>
      </w:r>
      <w:r>
        <w:rPr>
          <w:rFonts w:eastAsia="仿宋" w:cs="Times New Roman"/>
          <w:b/>
          <w:bCs/>
          <w:snapToGrid w:val="0"/>
          <w:color w:val="000000" w:themeColor="text1"/>
          <w:spacing w:val="6"/>
          <w:kern w:val="0"/>
          <w:sz w:val="24"/>
          <w:szCs w:val="24"/>
        </w:rPr>
        <w:t>）环境风险管理研究：</w:t>
      </w:r>
      <w:r>
        <w:rPr>
          <w:rFonts w:eastAsia="仿宋" w:cs="Times New Roman"/>
          <w:snapToGrid w:val="0"/>
          <w:color w:val="000000" w:themeColor="text1"/>
          <w:spacing w:val="6"/>
          <w:kern w:val="0"/>
          <w:sz w:val="24"/>
          <w:szCs w:val="24"/>
        </w:rPr>
        <w:t>研究环境风险识别、评估和管理的方法论，建立健全环境风险管理体系，确保投融资活动符合可持续发展要求。本行尝试开展环境风险量化分析</w:t>
      </w:r>
      <w:r>
        <w:rPr>
          <w:rFonts w:eastAsia="仿宋" w:cs="Times New Roman"/>
          <w:snapToGrid w:val="0"/>
          <w:color w:val="000000" w:themeColor="text1"/>
          <w:spacing w:val="6"/>
          <w:kern w:val="0"/>
          <w:sz w:val="24"/>
          <w:szCs w:val="24"/>
        </w:rPr>
        <w:lastRenderedPageBreak/>
        <w:t>，将投融资主体受环境政策影响、自身环评和环境表现等因素纳入企业授信评估</w:t>
      </w:r>
      <w:proofErr w:type="gramStart"/>
      <w:r>
        <w:rPr>
          <w:rFonts w:eastAsia="仿宋" w:cs="Times New Roman"/>
          <w:snapToGrid w:val="0"/>
          <w:color w:val="000000" w:themeColor="text1"/>
          <w:spacing w:val="6"/>
          <w:kern w:val="0"/>
          <w:sz w:val="24"/>
          <w:szCs w:val="24"/>
        </w:rPr>
        <w:t>考量</w:t>
      </w:r>
      <w:proofErr w:type="gramEnd"/>
      <w:r>
        <w:rPr>
          <w:rFonts w:eastAsia="仿宋" w:cs="Times New Roman"/>
          <w:snapToGrid w:val="0"/>
          <w:color w:val="000000" w:themeColor="text1"/>
          <w:spacing w:val="6"/>
          <w:kern w:val="0"/>
          <w:sz w:val="24"/>
          <w:szCs w:val="24"/>
        </w:rPr>
        <w:t>指标，评估环境物理风险和转型风险对信贷资产质量的影响程度，提升风险管理水平。</w:t>
      </w:r>
    </w:p>
    <w:p w:rsidR="00EE0247" w:rsidRDefault="007240D0" w:rsidP="00D241E6">
      <w:pPr>
        <w:widowControl/>
        <w:kinsoku w:val="0"/>
        <w:autoSpaceDE w:val="0"/>
        <w:autoSpaceDN w:val="0"/>
        <w:adjustRightInd w:val="0"/>
        <w:snapToGrid w:val="0"/>
        <w:spacing w:beforeLines="50" w:line="240" w:lineRule="auto"/>
        <w:ind w:firstLine="506"/>
        <w:textAlignment w:val="baseline"/>
        <w:rPr>
          <w:rFonts w:eastAsia="仿宋" w:cs="Times New Roman"/>
          <w:snapToGrid w:val="0"/>
          <w:color w:val="000000" w:themeColor="text1"/>
          <w:spacing w:val="6"/>
          <w:kern w:val="0"/>
          <w:sz w:val="24"/>
          <w:szCs w:val="24"/>
        </w:rPr>
      </w:pPr>
      <w:r>
        <w:rPr>
          <w:rFonts w:eastAsia="仿宋" w:cs="Times New Roman"/>
          <w:b/>
          <w:bCs/>
          <w:snapToGrid w:val="0"/>
          <w:color w:val="000000" w:themeColor="text1"/>
          <w:spacing w:val="6"/>
          <w:kern w:val="0"/>
          <w:sz w:val="24"/>
          <w:szCs w:val="24"/>
        </w:rPr>
        <w:t>4</w:t>
      </w:r>
      <w:r>
        <w:rPr>
          <w:rFonts w:eastAsia="仿宋" w:cs="Times New Roman"/>
          <w:b/>
          <w:bCs/>
          <w:snapToGrid w:val="0"/>
          <w:color w:val="000000" w:themeColor="text1"/>
          <w:spacing w:val="6"/>
          <w:kern w:val="0"/>
          <w:sz w:val="24"/>
          <w:szCs w:val="24"/>
        </w:rPr>
        <w:t>）绿色低碳运营研究：</w:t>
      </w:r>
      <w:r>
        <w:rPr>
          <w:rFonts w:eastAsia="仿宋" w:cs="Times New Roman"/>
          <w:snapToGrid w:val="0"/>
          <w:color w:val="000000" w:themeColor="text1"/>
          <w:spacing w:val="6"/>
          <w:kern w:val="0"/>
          <w:sz w:val="24"/>
          <w:szCs w:val="24"/>
        </w:rPr>
        <w:t>本行积极探索绿色低碳运营转型路径，研究如何通过绿色办公、绿色采购、</w:t>
      </w:r>
      <w:proofErr w:type="gramStart"/>
      <w:r>
        <w:rPr>
          <w:rFonts w:eastAsia="仿宋" w:cs="Times New Roman"/>
          <w:snapToGrid w:val="0"/>
          <w:color w:val="000000" w:themeColor="text1"/>
          <w:spacing w:val="6"/>
          <w:kern w:val="0"/>
          <w:sz w:val="24"/>
          <w:szCs w:val="24"/>
        </w:rPr>
        <w:t>绿电绿</w:t>
      </w:r>
      <w:proofErr w:type="gramEnd"/>
      <w:r>
        <w:rPr>
          <w:rFonts w:eastAsia="仿宋" w:cs="Times New Roman"/>
          <w:snapToGrid w:val="0"/>
          <w:color w:val="000000" w:themeColor="text1"/>
          <w:spacing w:val="6"/>
          <w:kern w:val="0"/>
          <w:sz w:val="24"/>
          <w:szCs w:val="24"/>
        </w:rPr>
        <w:t>证、绿色数据中心建设等措施降低自身运营过程中的环境影响，提升绿色运营水平。公司积极倡导绿色办公理念，通过金融科技推动运营管理集约化、日常工作数字化和业务办理智能化，进一步提升运营效率和节能减排效果。</w:t>
      </w:r>
    </w:p>
    <w:p w:rsidR="00EE0247" w:rsidRDefault="007240D0" w:rsidP="00D241E6">
      <w:pPr>
        <w:widowControl/>
        <w:kinsoku w:val="0"/>
        <w:autoSpaceDE w:val="0"/>
        <w:autoSpaceDN w:val="0"/>
        <w:adjustRightInd w:val="0"/>
        <w:snapToGrid w:val="0"/>
        <w:spacing w:beforeLines="50" w:line="240" w:lineRule="auto"/>
        <w:ind w:firstLine="506"/>
        <w:textAlignment w:val="baseline"/>
        <w:rPr>
          <w:rFonts w:eastAsia="仿宋" w:cs="Times New Roman"/>
          <w:snapToGrid w:val="0"/>
          <w:color w:val="000000" w:themeColor="text1"/>
          <w:spacing w:val="6"/>
          <w:kern w:val="0"/>
          <w:sz w:val="24"/>
          <w:szCs w:val="24"/>
        </w:rPr>
      </w:pPr>
      <w:r>
        <w:rPr>
          <w:rFonts w:eastAsia="仿宋" w:cs="Times New Roman"/>
          <w:b/>
          <w:bCs/>
          <w:snapToGrid w:val="0"/>
          <w:color w:val="000000" w:themeColor="text1"/>
          <w:spacing w:val="6"/>
          <w:kern w:val="0"/>
          <w:sz w:val="24"/>
          <w:szCs w:val="24"/>
        </w:rPr>
        <w:t>5</w:t>
      </w:r>
      <w:r>
        <w:rPr>
          <w:rFonts w:eastAsia="仿宋" w:cs="Times New Roman"/>
          <w:b/>
          <w:bCs/>
          <w:snapToGrid w:val="0"/>
          <w:color w:val="000000" w:themeColor="text1"/>
          <w:spacing w:val="6"/>
          <w:kern w:val="0"/>
          <w:sz w:val="24"/>
          <w:szCs w:val="24"/>
        </w:rPr>
        <w:t>）外部研究合作：</w:t>
      </w:r>
      <w:r>
        <w:rPr>
          <w:rFonts w:eastAsia="仿宋" w:cs="Times New Roman"/>
          <w:snapToGrid w:val="0"/>
          <w:color w:val="000000" w:themeColor="text1"/>
          <w:spacing w:val="6"/>
          <w:kern w:val="0"/>
          <w:sz w:val="24"/>
          <w:szCs w:val="24"/>
        </w:rPr>
        <w:t>本行积极参与环境、绿色金融领域的外部研究合作与沟通交流，推动本行绿色金融业务的深入发展。此外，公司还通过参加各类绿色金融论坛、研讨会等行业活动，交流绿色金融研究成果和实践经验，同时提升自身行业影响力。</w:t>
      </w:r>
    </w:p>
    <w:p w:rsidR="00EE0247" w:rsidRDefault="007240D0" w:rsidP="00D241E6">
      <w:pPr>
        <w:widowControl/>
        <w:kinsoku w:val="0"/>
        <w:autoSpaceDE w:val="0"/>
        <w:autoSpaceDN w:val="0"/>
        <w:adjustRightInd w:val="0"/>
        <w:snapToGrid w:val="0"/>
        <w:spacing w:beforeLines="50" w:line="240" w:lineRule="auto"/>
        <w:ind w:firstLine="480"/>
        <w:textAlignment w:val="baseline"/>
        <w:rPr>
          <w:rFonts w:eastAsia="黑体" w:cs="Times New Roman"/>
          <w:color w:val="000000" w:themeColor="text1"/>
          <w:sz w:val="24"/>
          <w:szCs w:val="24"/>
        </w:rPr>
      </w:pPr>
      <w:r>
        <w:rPr>
          <w:rFonts w:eastAsia="黑体" w:cs="Times New Roman"/>
          <w:color w:val="000000" w:themeColor="text1"/>
          <w:sz w:val="24"/>
          <w:szCs w:val="24"/>
        </w:rPr>
        <w:t xml:space="preserve">9.2.2 </w:t>
      </w:r>
      <w:r>
        <w:rPr>
          <w:rFonts w:eastAsia="黑体" w:cs="Times New Roman"/>
          <w:color w:val="000000" w:themeColor="text1"/>
          <w:sz w:val="24"/>
          <w:szCs w:val="24"/>
        </w:rPr>
        <w:t>绿色金融奖项</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无。</w:t>
      </w:r>
    </w:p>
    <w:p w:rsidR="00EE0247" w:rsidRDefault="007240D0">
      <w:pPr>
        <w:ind w:firstLine="640"/>
        <w:rPr>
          <w:rFonts w:eastAsia="微软雅黑" w:cs="Times New Roman"/>
          <w:b/>
          <w:bCs/>
          <w:color w:val="000000" w:themeColor="text1"/>
          <w:szCs w:val="32"/>
        </w:rPr>
      </w:pPr>
      <w:r>
        <w:rPr>
          <w:rFonts w:eastAsia="微软雅黑" w:cs="Times New Roman"/>
          <w:b/>
          <w:bCs/>
          <w:color w:val="000000" w:themeColor="text1"/>
          <w:szCs w:val="32"/>
        </w:rPr>
        <w:br w:type="page"/>
      </w:r>
    </w:p>
    <w:p w:rsidR="00EE0247" w:rsidRDefault="007240D0">
      <w:pPr>
        <w:pStyle w:val="1"/>
        <w:rPr>
          <w:rFonts w:cs="Times New Roman"/>
          <w:b w:val="0"/>
          <w:bCs/>
        </w:rPr>
      </w:pPr>
      <w:bookmarkStart w:id="39" w:name="_Toc14833"/>
      <w:bookmarkStart w:id="40" w:name="_Toc5271"/>
      <w:bookmarkStart w:id="41" w:name="_Toc206595337"/>
      <w:r>
        <w:rPr>
          <w:rFonts w:cs="Times New Roman"/>
          <w:b w:val="0"/>
          <w:bCs/>
        </w:rPr>
        <w:lastRenderedPageBreak/>
        <w:t>第十章</w:t>
      </w:r>
      <w:r>
        <w:rPr>
          <w:rFonts w:cs="Times New Roman"/>
          <w:b w:val="0"/>
          <w:bCs/>
        </w:rPr>
        <w:t xml:space="preserve"> </w:t>
      </w:r>
      <w:r>
        <w:rPr>
          <w:rFonts w:cs="Times New Roman"/>
          <w:b w:val="0"/>
          <w:bCs/>
        </w:rPr>
        <w:t>数据质量管理</w:t>
      </w:r>
      <w:bookmarkEnd w:id="39"/>
      <w:bookmarkEnd w:id="40"/>
      <w:bookmarkEnd w:id="41"/>
    </w:p>
    <w:p w:rsidR="00EE0247" w:rsidRDefault="007240D0">
      <w:pPr>
        <w:pStyle w:val="2"/>
        <w:rPr>
          <w:rFonts w:ascii="Times New Roman" w:hAnsi="Times New Roman" w:hint="default"/>
        </w:rPr>
      </w:pPr>
      <w:bookmarkStart w:id="42" w:name="_Toc18161"/>
      <w:bookmarkStart w:id="43" w:name="_Toc19080"/>
      <w:bookmarkStart w:id="44" w:name="_Toc206595338"/>
      <w:bookmarkStart w:id="45" w:name="_Toc26069"/>
      <w:bookmarkStart w:id="46" w:name="_Toc16555"/>
      <w:r>
        <w:rPr>
          <w:rFonts w:ascii="Times New Roman" w:hAnsi="Times New Roman" w:hint="default"/>
        </w:rPr>
        <w:t xml:space="preserve">10.1 </w:t>
      </w:r>
      <w:r>
        <w:rPr>
          <w:rFonts w:ascii="Times New Roman" w:hAnsi="Times New Roman" w:hint="default"/>
        </w:rPr>
        <w:t>数据梳理、校验及保护</w:t>
      </w:r>
      <w:bookmarkEnd w:id="42"/>
      <w:bookmarkEnd w:id="43"/>
      <w:bookmarkEnd w:id="44"/>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本行在金融碳核算和环境信息披露工作中制定了完善的数据收集、校验、管理流程，并有效保障了相关数据安全和数据主体权益。具体如下：</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黑体" w:cs="Times New Roman"/>
          <w:bCs/>
          <w:snapToGrid w:val="0"/>
          <w:color w:val="000000" w:themeColor="text1"/>
          <w:spacing w:val="6"/>
          <w:kern w:val="0"/>
          <w:sz w:val="24"/>
          <w:szCs w:val="24"/>
        </w:rPr>
      </w:pPr>
      <w:r>
        <w:rPr>
          <w:rFonts w:eastAsia="黑体" w:cs="Times New Roman"/>
          <w:bCs/>
          <w:snapToGrid w:val="0"/>
          <w:color w:val="000000" w:themeColor="text1"/>
          <w:spacing w:val="6"/>
          <w:kern w:val="0"/>
          <w:sz w:val="24"/>
          <w:szCs w:val="24"/>
        </w:rPr>
        <w:t xml:space="preserve">10.1.1 </w:t>
      </w:r>
      <w:r>
        <w:rPr>
          <w:rFonts w:eastAsia="黑体" w:cs="Times New Roman"/>
          <w:bCs/>
          <w:snapToGrid w:val="0"/>
          <w:color w:val="000000" w:themeColor="text1"/>
          <w:spacing w:val="6"/>
          <w:kern w:val="0"/>
          <w:sz w:val="24"/>
          <w:szCs w:val="24"/>
        </w:rPr>
        <w:t>数据收集</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1</w:t>
      </w:r>
      <w:r>
        <w:rPr>
          <w:rFonts w:eastAsia="仿宋" w:cs="Times New Roman"/>
          <w:bCs/>
          <w:snapToGrid w:val="0"/>
          <w:color w:val="000000" w:themeColor="text1"/>
          <w:spacing w:val="6"/>
          <w:kern w:val="0"/>
          <w:sz w:val="24"/>
          <w:szCs w:val="24"/>
        </w:rPr>
        <w:t>）制度保障：依据中国人民银行《绿色贷款专项统计制度》和《绿色债券支持项目目录（</w:t>
      </w:r>
      <w:r>
        <w:rPr>
          <w:rFonts w:eastAsia="仿宋" w:cs="Times New Roman"/>
          <w:bCs/>
          <w:snapToGrid w:val="0"/>
          <w:color w:val="000000" w:themeColor="text1"/>
          <w:spacing w:val="6"/>
          <w:kern w:val="0"/>
          <w:sz w:val="24"/>
          <w:szCs w:val="24"/>
        </w:rPr>
        <w:t>2021</w:t>
      </w:r>
      <w:r>
        <w:rPr>
          <w:rFonts w:eastAsia="仿宋" w:cs="Times New Roman"/>
          <w:bCs/>
          <w:snapToGrid w:val="0"/>
          <w:color w:val="000000" w:themeColor="text1"/>
          <w:spacing w:val="6"/>
          <w:kern w:val="0"/>
          <w:sz w:val="24"/>
          <w:szCs w:val="24"/>
        </w:rPr>
        <w:t>年版）》制定了本行绿色统计制度，详细规范绿色信贷和绿色债券的认定流程、标识指标及数据统计的具体方法，确保绿色资产数据收集的规范性和一致性。</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2</w:t>
      </w:r>
      <w:r>
        <w:rPr>
          <w:rFonts w:eastAsia="仿宋" w:cs="Times New Roman"/>
          <w:bCs/>
          <w:snapToGrid w:val="0"/>
          <w:color w:val="000000" w:themeColor="text1"/>
          <w:spacing w:val="6"/>
          <w:kern w:val="0"/>
          <w:sz w:val="24"/>
          <w:szCs w:val="24"/>
        </w:rPr>
        <w:t>）组织保障：为保障金融碳核算和环境信息披露工作顺利开展，本行董事会办公室牵头成立了由多业务部门和子公司组成的专项工作组，专门负责本行金融碳核算（自身经营碳排放、投融资碳排放、绿色</w:t>
      </w:r>
      <w:proofErr w:type="gramStart"/>
      <w:r>
        <w:rPr>
          <w:rFonts w:eastAsia="仿宋" w:cs="Times New Roman"/>
          <w:bCs/>
          <w:snapToGrid w:val="0"/>
          <w:color w:val="000000" w:themeColor="text1"/>
          <w:spacing w:val="6"/>
          <w:kern w:val="0"/>
          <w:sz w:val="24"/>
          <w:szCs w:val="24"/>
        </w:rPr>
        <w:t>资产碳减排</w:t>
      </w:r>
      <w:proofErr w:type="gramEnd"/>
      <w:r>
        <w:rPr>
          <w:rFonts w:eastAsia="仿宋" w:cs="Times New Roman"/>
          <w:bCs/>
          <w:snapToGrid w:val="0"/>
          <w:color w:val="000000" w:themeColor="text1"/>
          <w:spacing w:val="6"/>
          <w:kern w:val="0"/>
          <w:sz w:val="24"/>
          <w:szCs w:val="24"/>
        </w:rPr>
        <w:t>）和环境信息披露工作。</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3</w:t>
      </w:r>
      <w:r>
        <w:rPr>
          <w:rFonts w:eastAsia="仿宋" w:cs="Times New Roman"/>
          <w:bCs/>
          <w:snapToGrid w:val="0"/>
          <w:color w:val="000000" w:themeColor="text1"/>
          <w:spacing w:val="6"/>
          <w:kern w:val="0"/>
          <w:sz w:val="24"/>
          <w:szCs w:val="24"/>
        </w:rPr>
        <w:t>）能力建设：为解决本行在金融碳核算和环境信息披露方面专业经验不足和专家团队薄弱难题，我们聘请了专业第三</w:t>
      </w:r>
      <w:proofErr w:type="gramStart"/>
      <w:r>
        <w:rPr>
          <w:rFonts w:eastAsia="仿宋" w:cs="Times New Roman"/>
          <w:bCs/>
          <w:snapToGrid w:val="0"/>
          <w:color w:val="000000" w:themeColor="text1"/>
          <w:spacing w:val="6"/>
          <w:kern w:val="0"/>
          <w:sz w:val="24"/>
          <w:szCs w:val="24"/>
        </w:rPr>
        <w:t>方咨询</w:t>
      </w:r>
      <w:proofErr w:type="gramEnd"/>
      <w:r>
        <w:rPr>
          <w:rFonts w:eastAsia="仿宋" w:cs="Times New Roman"/>
          <w:bCs/>
          <w:snapToGrid w:val="0"/>
          <w:color w:val="000000" w:themeColor="text1"/>
          <w:spacing w:val="6"/>
          <w:kern w:val="0"/>
          <w:sz w:val="24"/>
          <w:szCs w:val="24"/>
        </w:rPr>
        <w:t>机构，辅导本行工作组设计了完整的可行性方案、工作计划、工作流程、操作手册、数据收集表和报告模板等文件，并采购和部署了本行金融碳核算系统数字化工具。</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基于以上制度、组织、能力保障，通过本行内部统计系统和外部客户数据收集，实现了环境信息披露所需数据的全面、准确和及时统计。</w:t>
      </w:r>
      <w:r>
        <w:rPr>
          <w:rFonts w:eastAsia="仿宋" w:cs="Times New Roman"/>
          <w:bCs/>
          <w:snapToGrid w:val="0"/>
          <w:color w:val="000000" w:themeColor="text1"/>
          <w:spacing w:val="6"/>
          <w:kern w:val="0"/>
          <w:sz w:val="24"/>
          <w:szCs w:val="24"/>
        </w:rPr>
        <w:t xml:space="preserve">  </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黑体" w:cs="Times New Roman"/>
          <w:bCs/>
          <w:snapToGrid w:val="0"/>
          <w:color w:val="000000" w:themeColor="text1"/>
          <w:spacing w:val="6"/>
          <w:kern w:val="0"/>
          <w:sz w:val="24"/>
          <w:szCs w:val="24"/>
        </w:rPr>
      </w:pPr>
      <w:r>
        <w:rPr>
          <w:rFonts w:eastAsia="黑体" w:cs="Times New Roman"/>
          <w:bCs/>
          <w:snapToGrid w:val="0"/>
          <w:color w:val="000000" w:themeColor="text1"/>
          <w:spacing w:val="6"/>
          <w:kern w:val="0"/>
          <w:sz w:val="24"/>
          <w:szCs w:val="24"/>
        </w:rPr>
        <w:t xml:space="preserve">10.1.2 </w:t>
      </w:r>
      <w:r>
        <w:rPr>
          <w:rFonts w:eastAsia="黑体" w:cs="Times New Roman"/>
          <w:bCs/>
          <w:snapToGrid w:val="0"/>
          <w:color w:val="000000" w:themeColor="text1"/>
          <w:spacing w:val="6"/>
          <w:kern w:val="0"/>
          <w:sz w:val="24"/>
          <w:szCs w:val="24"/>
        </w:rPr>
        <w:t>数据校验</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本行建立了严格的数据校验流程，通过交叉核对、内部评审及外部审验多种方式对数据进行多维度校验，确保数据可追溯、可验证、可核查。</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首先，所有原始数据收集和填报交叉核对机制，支行核对专员对客户经理收集和填报的《客户清单》、投融资碳排放、绿色</w:t>
      </w:r>
      <w:proofErr w:type="gramStart"/>
      <w:r>
        <w:rPr>
          <w:rFonts w:eastAsia="仿宋" w:cs="Times New Roman"/>
          <w:bCs/>
          <w:snapToGrid w:val="0"/>
          <w:color w:val="000000" w:themeColor="text1"/>
          <w:spacing w:val="6"/>
          <w:kern w:val="0"/>
          <w:sz w:val="24"/>
          <w:szCs w:val="24"/>
        </w:rPr>
        <w:t>资产碳减排</w:t>
      </w:r>
      <w:proofErr w:type="gramEnd"/>
      <w:r>
        <w:rPr>
          <w:rFonts w:eastAsia="仿宋" w:cs="Times New Roman"/>
          <w:bCs/>
          <w:snapToGrid w:val="0"/>
          <w:color w:val="000000" w:themeColor="text1"/>
          <w:spacing w:val="6"/>
          <w:kern w:val="0"/>
          <w:sz w:val="24"/>
          <w:szCs w:val="24"/>
        </w:rPr>
        <w:t>初始数据逐个核对，总行核对专员对支行收集和填报的自身经营碳排放、投融资清单、</w:t>
      </w:r>
      <w:proofErr w:type="gramStart"/>
      <w:r>
        <w:rPr>
          <w:rFonts w:eastAsia="仿宋" w:cs="Times New Roman"/>
          <w:bCs/>
          <w:snapToGrid w:val="0"/>
          <w:color w:val="000000" w:themeColor="text1"/>
          <w:spacing w:val="6"/>
          <w:kern w:val="0"/>
          <w:sz w:val="24"/>
          <w:szCs w:val="24"/>
        </w:rPr>
        <w:t>碳减排</w:t>
      </w:r>
      <w:proofErr w:type="gramEnd"/>
      <w:r>
        <w:rPr>
          <w:rFonts w:eastAsia="仿宋" w:cs="Times New Roman"/>
          <w:bCs/>
          <w:snapToGrid w:val="0"/>
          <w:color w:val="000000" w:themeColor="text1"/>
          <w:spacing w:val="6"/>
          <w:kern w:val="0"/>
          <w:sz w:val="24"/>
          <w:szCs w:val="24"/>
        </w:rPr>
        <w:t>清单，通过金融碳核算系统数据核验工具对数据进行自动化校验；</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其次，本行专家依据评审规则和统计数据，对金融碳核算系统最终计算结果和</w:t>
      </w:r>
      <w:proofErr w:type="gramStart"/>
      <w:r>
        <w:rPr>
          <w:rFonts w:eastAsia="仿宋" w:cs="Times New Roman"/>
          <w:bCs/>
          <w:snapToGrid w:val="0"/>
          <w:color w:val="000000" w:themeColor="text1"/>
          <w:spacing w:val="6"/>
          <w:kern w:val="0"/>
          <w:sz w:val="24"/>
          <w:szCs w:val="24"/>
        </w:rPr>
        <w:t>各类碳报表</w:t>
      </w:r>
      <w:proofErr w:type="gramEnd"/>
      <w:r>
        <w:rPr>
          <w:rFonts w:eastAsia="仿宋" w:cs="Times New Roman"/>
          <w:bCs/>
          <w:snapToGrid w:val="0"/>
          <w:color w:val="000000" w:themeColor="text1"/>
          <w:spacing w:val="6"/>
          <w:kern w:val="0"/>
          <w:sz w:val="24"/>
          <w:szCs w:val="24"/>
        </w:rPr>
        <w:t>进行内部评审；</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最后，第三方机构依据《金融机构碳核算技术指南（试行）》和《江苏省银行业金融机构环境信息披露指引》，参考行业内金融碳核算最佳实践经验做外部审验，对关键数据进行严格比对识别并纠正潜在偏差。</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黑体" w:cs="Times New Roman"/>
          <w:bCs/>
          <w:snapToGrid w:val="0"/>
          <w:color w:val="000000" w:themeColor="text1"/>
          <w:spacing w:val="6"/>
          <w:kern w:val="0"/>
          <w:sz w:val="24"/>
          <w:szCs w:val="24"/>
        </w:rPr>
      </w:pPr>
      <w:r>
        <w:rPr>
          <w:rFonts w:eastAsia="黑体" w:cs="Times New Roman"/>
          <w:bCs/>
          <w:snapToGrid w:val="0"/>
          <w:color w:val="000000" w:themeColor="text1"/>
          <w:spacing w:val="6"/>
          <w:kern w:val="0"/>
          <w:sz w:val="24"/>
          <w:szCs w:val="24"/>
        </w:rPr>
        <w:t xml:space="preserve">10.1.3 </w:t>
      </w:r>
      <w:r>
        <w:rPr>
          <w:rFonts w:eastAsia="黑体" w:cs="Times New Roman"/>
          <w:bCs/>
          <w:snapToGrid w:val="0"/>
          <w:color w:val="000000" w:themeColor="text1"/>
          <w:spacing w:val="6"/>
          <w:kern w:val="0"/>
          <w:sz w:val="24"/>
          <w:szCs w:val="24"/>
        </w:rPr>
        <w:t>数据安全</w:t>
      </w:r>
    </w:p>
    <w:p w:rsidR="00EE0247" w:rsidRDefault="007240D0" w:rsidP="00D241E6">
      <w:pPr>
        <w:widowControl/>
        <w:numPr>
          <w:ilvl w:val="0"/>
          <w:numId w:val="7"/>
        </w:numPr>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安全体系：本行建立了完善的信息安全管理体系，从体系上确保金融碳核算和环境信息披露数据在收集、处理、存储及传输过程中的安全性。</w:t>
      </w:r>
    </w:p>
    <w:p w:rsidR="00EE0247" w:rsidRDefault="007240D0" w:rsidP="00D241E6">
      <w:pPr>
        <w:widowControl/>
        <w:numPr>
          <w:ilvl w:val="0"/>
          <w:numId w:val="7"/>
        </w:numPr>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lastRenderedPageBreak/>
        <w:t>访问控制：实施严格的数据访问控制策略，仅授权相关人员访问相关数据，防止环境信息披露数据泄露。</w:t>
      </w:r>
    </w:p>
    <w:p w:rsidR="00EE0247" w:rsidRDefault="007240D0" w:rsidP="00D241E6">
      <w:pPr>
        <w:widowControl/>
        <w:numPr>
          <w:ilvl w:val="0"/>
          <w:numId w:val="7"/>
        </w:numPr>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加密技术：对敏感数据采用加密技术处理，确保环境信息披露数据在存储和传输过程中的保密性。</w:t>
      </w:r>
    </w:p>
    <w:p w:rsidR="00EE0247" w:rsidRDefault="007240D0" w:rsidP="00D241E6">
      <w:pPr>
        <w:widowControl/>
        <w:numPr>
          <w:ilvl w:val="0"/>
          <w:numId w:val="7"/>
        </w:numPr>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备份恢复：建立数据备份与恢复机制，定期对环境数据进行备份，防止数据丢失或损坏，确保数据的完整性和可用性。</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黑体" w:cs="Times New Roman"/>
          <w:bCs/>
          <w:snapToGrid w:val="0"/>
          <w:color w:val="000000" w:themeColor="text1"/>
          <w:spacing w:val="6"/>
          <w:kern w:val="0"/>
          <w:sz w:val="24"/>
          <w:szCs w:val="24"/>
        </w:rPr>
      </w:pPr>
      <w:r>
        <w:rPr>
          <w:rFonts w:eastAsia="黑体" w:cs="Times New Roman"/>
          <w:bCs/>
          <w:snapToGrid w:val="0"/>
          <w:color w:val="000000" w:themeColor="text1"/>
          <w:spacing w:val="6"/>
          <w:kern w:val="0"/>
          <w:sz w:val="24"/>
          <w:szCs w:val="24"/>
        </w:rPr>
        <w:t xml:space="preserve">10.1.4 </w:t>
      </w:r>
      <w:r>
        <w:rPr>
          <w:rFonts w:eastAsia="黑体" w:cs="Times New Roman"/>
          <w:bCs/>
          <w:snapToGrid w:val="0"/>
          <w:color w:val="000000" w:themeColor="text1"/>
          <w:spacing w:val="6"/>
          <w:kern w:val="0"/>
          <w:sz w:val="24"/>
          <w:szCs w:val="24"/>
        </w:rPr>
        <w:t>数据主体权益</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1</w:t>
      </w:r>
      <w:r>
        <w:rPr>
          <w:rFonts w:eastAsia="仿宋" w:cs="Times New Roman"/>
          <w:bCs/>
          <w:snapToGrid w:val="0"/>
          <w:color w:val="000000" w:themeColor="text1"/>
          <w:spacing w:val="6"/>
          <w:kern w:val="0"/>
          <w:sz w:val="24"/>
          <w:szCs w:val="24"/>
        </w:rPr>
        <w:t>）同意授权方面：在收集企业经营数据和环境信息时，确保获得数据主体的书面同意和数据授权。</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2</w:t>
      </w:r>
      <w:r>
        <w:rPr>
          <w:rFonts w:eastAsia="仿宋" w:cs="Times New Roman"/>
          <w:bCs/>
          <w:snapToGrid w:val="0"/>
          <w:color w:val="000000" w:themeColor="text1"/>
          <w:spacing w:val="6"/>
          <w:kern w:val="0"/>
          <w:sz w:val="24"/>
          <w:szCs w:val="24"/>
        </w:rPr>
        <w:t>）最小化方面：遵循收集数据最小化原则避免过度收集，仅收集编制环境信息披露报告的必需数据。</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3</w:t>
      </w:r>
      <w:r>
        <w:rPr>
          <w:rFonts w:eastAsia="仿宋" w:cs="Times New Roman"/>
          <w:bCs/>
          <w:snapToGrid w:val="0"/>
          <w:color w:val="000000" w:themeColor="text1"/>
          <w:spacing w:val="6"/>
          <w:kern w:val="0"/>
          <w:sz w:val="24"/>
          <w:szCs w:val="24"/>
        </w:rPr>
        <w:t>）知情权方面：明确告知数据主体其数据将被如何使用和安全保护措施，保障数据主体充分知情。</w:t>
      </w:r>
    </w:p>
    <w:p w:rsidR="00EE0247" w:rsidRDefault="007240D0">
      <w:pPr>
        <w:pStyle w:val="2"/>
        <w:rPr>
          <w:rFonts w:ascii="Times New Roman" w:hAnsi="Times New Roman" w:hint="default"/>
        </w:rPr>
      </w:pPr>
      <w:bookmarkStart w:id="47" w:name="_Toc2900"/>
      <w:bookmarkStart w:id="48" w:name="_Toc27535"/>
      <w:bookmarkStart w:id="49" w:name="_Toc206595339"/>
      <w:r>
        <w:rPr>
          <w:rFonts w:ascii="Times New Roman" w:hAnsi="Times New Roman" w:hint="default"/>
        </w:rPr>
        <w:t xml:space="preserve">10.2 </w:t>
      </w:r>
      <w:r>
        <w:rPr>
          <w:rFonts w:ascii="Times New Roman" w:hAnsi="Times New Roman" w:hint="default"/>
        </w:rPr>
        <w:t>碳排放数据质量管理</w:t>
      </w:r>
      <w:bookmarkEnd w:id="47"/>
      <w:bookmarkEnd w:id="48"/>
      <w:bookmarkEnd w:id="49"/>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本行在金融碳核算和环境信息披露工作中采用的核算原则、统计口径、测算方法均符合《江苏省银行业金融机构环境信息披露指引（试行）》（以下简称《指引》）政策标准，并采取了一系列数据质量保障措施，具体如下：</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黑体" w:cs="Times New Roman"/>
          <w:bCs/>
          <w:snapToGrid w:val="0"/>
          <w:color w:val="000000" w:themeColor="text1"/>
          <w:spacing w:val="6"/>
          <w:kern w:val="0"/>
          <w:sz w:val="24"/>
          <w:szCs w:val="24"/>
        </w:rPr>
      </w:pPr>
      <w:r>
        <w:rPr>
          <w:rFonts w:eastAsia="黑体" w:cs="Times New Roman"/>
          <w:bCs/>
          <w:snapToGrid w:val="0"/>
          <w:color w:val="000000" w:themeColor="text1"/>
          <w:spacing w:val="6"/>
          <w:kern w:val="0"/>
          <w:sz w:val="24"/>
          <w:szCs w:val="24"/>
        </w:rPr>
        <w:t xml:space="preserve">10.2.1 </w:t>
      </w:r>
      <w:r>
        <w:rPr>
          <w:rFonts w:eastAsia="黑体" w:cs="Times New Roman"/>
          <w:bCs/>
          <w:snapToGrid w:val="0"/>
          <w:color w:val="000000" w:themeColor="text1"/>
          <w:spacing w:val="6"/>
          <w:kern w:val="0"/>
          <w:sz w:val="24"/>
          <w:szCs w:val="24"/>
        </w:rPr>
        <w:t>遵循原则</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1</w:t>
      </w:r>
      <w:r>
        <w:rPr>
          <w:rFonts w:eastAsia="仿宋" w:cs="Times New Roman"/>
          <w:bCs/>
          <w:snapToGrid w:val="0"/>
          <w:color w:val="000000" w:themeColor="text1"/>
          <w:spacing w:val="6"/>
          <w:kern w:val="0"/>
          <w:sz w:val="24"/>
          <w:szCs w:val="24"/>
        </w:rPr>
        <w:t>）真实性原则。本行已客观、准确、完整地向监管部门和利益相关各方披露环境相关信息，引用的数据、资料均注明来源，并对要求披露但无法准确披露的信息已</w:t>
      </w:r>
      <w:proofErr w:type="gramStart"/>
      <w:r>
        <w:rPr>
          <w:rFonts w:eastAsia="仿宋" w:cs="Times New Roman"/>
          <w:bCs/>
          <w:snapToGrid w:val="0"/>
          <w:color w:val="000000" w:themeColor="text1"/>
          <w:spacing w:val="6"/>
          <w:kern w:val="0"/>
          <w:sz w:val="24"/>
          <w:szCs w:val="24"/>
        </w:rPr>
        <w:t>作出</w:t>
      </w:r>
      <w:proofErr w:type="gramEnd"/>
      <w:r>
        <w:rPr>
          <w:rFonts w:eastAsia="仿宋" w:cs="Times New Roman"/>
          <w:bCs/>
          <w:snapToGrid w:val="0"/>
          <w:color w:val="000000" w:themeColor="text1"/>
          <w:spacing w:val="6"/>
          <w:kern w:val="0"/>
          <w:sz w:val="24"/>
          <w:szCs w:val="24"/>
        </w:rPr>
        <w:t>解释说明。</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2</w:t>
      </w:r>
      <w:r>
        <w:rPr>
          <w:rFonts w:eastAsia="仿宋" w:cs="Times New Roman"/>
          <w:bCs/>
          <w:snapToGrid w:val="0"/>
          <w:color w:val="000000" w:themeColor="text1"/>
          <w:spacing w:val="6"/>
          <w:kern w:val="0"/>
          <w:sz w:val="24"/>
          <w:szCs w:val="24"/>
        </w:rPr>
        <w:t>）及时性原则。本行此次碳排放核算与信息披露工作将于</w:t>
      </w:r>
      <w:r>
        <w:rPr>
          <w:rFonts w:eastAsia="仿宋" w:cs="Times New Roman"/>
          <w:bCs/>
          <w:snapToGrid w:val="0"/>
          <w:color w:val="000000" w:themeColor="text1"/>
          <w:spacing w:val="6"/>
          <w:kern w:val="0"/>
          <w:sz w:val="24"/>
          <w:szCs w:val="24"/>
        </w:rPr>
        <w:t>2024</w:t>
      </w:r>
      <w:r>
        <w:rPr>
          <w:rFonts w:eastAsia="仿宋" w:cs="Times New Roman"/>
          <w:bCs/>
          <w:snapToGrid w:val="0"/>
          <w:color w:val="000000" w:themeColor="text1"/>
          <w:spacing w:val="6"/>
          <w:kern w:val="0"/>
          <w:sz w:val="24"/>
          <w:szCs w:val="24"/>
        </w:rPr>
        <w:t>年</w:t>
      </w:r>
      <w:r>
        <w:rPr>
          <w:rFonts w:eastAsia="仿宋" w:cs="Times New Roman"/>
          <w:bCs/>
          <w:snapToGrid w:val="0"/>
          <w:color w:val="000000" w:themeColor="text1"/>
          <w:spacing w:val="6"/>
          <w:kern w:val="0"/>
          <w:sz w:val="24"/>
          <w:szCs w:val="24"/>
        </w:rPr>
        <w:t>06</w:t>
      </w:r>
      <w:r>
        <w:rPr>
          <w:rFonts w:eastAsia="仿宋" w:cs="Times New Roman"/>
          <w:bCs/>
          <w:snapToGrid w:val="0"/>
          <w:color w:val="000000" w:themeColor="text1"/>
          <w:spacing w:val="6"/>
          <w:kern w:val="0"/>
          <w:sz w:val="24"/>
          <w:szCs w:val="24"/>
        </w:rPr>
        <w:t>月</w:t>
      </w:r>
      <w:r>
        <w:rPr>
          <w:rFonts w:eastAsia="仿宋" w:cs="Times New Roman"/>
          <w:bCs/>
          <w:snapToGrid w:val="0"/>
          <w:color w:val="000000" w:themeColor="text1"/>
          <w:spacing w:val="6"/>
          <w:kern w:val="0"/>
          <w:sz w:val="24"/>
          <w:szCs w:val="24"/>
        </w:rPr>
        <w:t>30</w:t>
      </w:r>
      <w:r>
        <w:rPr>
          <w:rFonts w:eastAsia="仿宋" w:cs="Times New Roman"/>
          <w:bCs/>
          <w:snapToGrid w:val="0"/>
          <w:color w:val="000000" w:themeColor="text1"/>
          <w:spacing w:val="6"/>
          <w:kern w:val="0"/>
          <w:sz w:val="24"/>
          <w:szCs w:val="24"/>
        </w:rPr>
        <w:t>日完成，环境信息披露报告定量数据和定性内容信息完整，截至报告期本行和本行的关联机构未发生对社会公众利益有重大影响的环境事件。</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3</w:t>
      </w:r>
      <w:r>
        <w:rPr>
          <w:rFonts w:eastAsia="仿宋" w:cs="Times New Roman"/>
          <w:bCs/>
          <w:snapToGrid w:val="0"/>
          <w:color w:val="000000" w:themeColor="text1"/>
          <w:spacing w:val="6"/>
          <w:kern w:val="0"/>
          <w:sz w:val="24"/>
          <w:szCs w:val="24"/>
        </w:rPr>
        <w:t>）一致性原则。本行进行环境信息披露工作时，碳排放核算与信息披露的测算口径和方法严格与《指引》保持一致。</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4</w:t>
      </w:r>
      <w:r>
        <w:rPr>
          <w:rFonts w:eastAsia="仿宋" w:cs="Times New Roman"/>
          <w:bCs/>
          <w:snapToGrid w:val="0"/>
          <w:color w:val="000000" w:themeColor="text1"/>
          <w:spacing w:val="6"/>
          <w:kern w:val="0"/>
          <w:sz w:val="24"/>
          <w:szCs w:val="24"/>
        </w:rPr>
        <w:t>）连贯性原则。本行从首个环境信息披露报告年度开始，将在环境信息披露的统计核算标准、边界、方法和内容方面始终保持连贯性，如因某些原因发生改变的情况，将在报告中详细说明。</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hint="eastAsia"/>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5</w:t>
      </w:r>
      <w:r>
        <w:rPr>
          <w:rFonts w:eastAsia="仿宋" w:cs="Times New Roman"/>
          <w:bCs/>
          <w:snapToGrid w:val="0"/>
          <w:color w:val="000000" w:themeColor="text1"/>
          <w:spacing w:val="6"/>
          <w:kern w:val="0"/>
          <w:sz w:val="24"/>
          <w:szCs w:val="24"/>
        </w:rPr>
        <w:t>）依法性原则。本行承诺环境信息披露内容合法合</w:t>
      </w:r>
      <w:proofErr w:type="gramStart"/>
      <w:r>
        <w:rPr>
          <w:rFonts w:eastAsia="仿宋" w:cs="Times New Roman"/>
          <w:bCs/>
          <w:snapToGrid w:val="0"/>
          <w:color w:val="000000" w:themeColor="text1"/>
          <w:spacing w:val="6"/>
          <w:kern w:val="0"/>
          <w:sz w:val="24"/>
          <w:szCs w:val="24"/>
        </w:rPr>
        <w:t>规</w:t>
      </w:r>
      <w:proofErr w:type="gramEnd"/>
      <w:r>
        <w:rPr>
          <w:rFonts w:eastAsia="仿宋" w:cs="Times New Roman"/>
          <w:bCs/>
          <w:snapToGrid w:val="0"/>
          <w:color w:val="000000" w:themeColor="text1"/>
          <w:spacing w:val="6"/>
          <w:kern w:val="0"/>
          <w:sz w:val="24"/>
          <w:szCs w:val="24"/>
        </w:rPr>
        <w:t>，披露渠道符合政策标准，无虚假记载、误导性陈述或重大遗漏。</w:t>
      </w:r>
    </w:p>
    <w:p w:rsidR="00846B09" w:rsidRDefault="00846B09" w:rsidP="00846B09">
      <w:pPr>
        <w:pStyle w:val="a3"/>
        <w:ind w:firstLine="640"/>
        <w:rPr>
          <w:rFonts w:hint="eastAsia"/>
        </w:rPr>
      </w:pPr>
    </w:p>
    <w:p w:rsidR="00D241E6" w:rsidRDefault="00D241E6" w:rsidP="00D241E6">
      <w:pPr>
        <w:widowControl/>
        <w:kinsoku w:val="0"/>
        <w:autoSpaceDE w:val="0"/>
        <w:autoSpaceDN w:val="0"/>
        <w:adjustRightInd w:val="0"/>
        <w:snapToGrid w:val="0"/>
        <w:spacing w:beforeLines="50" w:line="240" w:lineRule="auto"/>
        <w:ind w:firstLine="504"/>
        <w:textAlignment w:val="baseline"/>
        <w:rPr>
          <w:rFonts w:eastAsia="黑体" w:cs="Times New Roman" w:hint="eastAsia"/>
          <w:bCs/>
          <w:snapToGrid w:val="0"/>
          <w:color w:val="000000" w:themeColor="text1"/>
          <w:spacing w:val="6"/>
          <w:kern w:val="0"/>
          <w:sz w:val="24"/>
          <w:szCs w:val="24"/>
        </w:rPr>
      </w:pP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黑体" w:cs="Times New Roman"/>
          <w:bCs/>
          <w:snapToGrid w:val="0"/>
          <w:color w:val="000000" w:themeColor="text1"/>
          <w:spacing w:val="6"/>
          <w:kern w:val="0"/>
          <w:sz w:val="24"/>
          <w:szCs w:val="24"/>
        </w:rPr>
      </w:pPr>
      <w:r>
        <w:rPr>
          <w:rFonts w:eastAsia="黑体" w:cs="Times New Roman"/>
          <w:bCs/>
          <w:snapToGrid w:val="0"/>
          <w:color w:val="000000" w:themeColor="text1"/>
          <w:spacing w:val="6"/>
          <w:kern w:val="0"/>
          <w:sz w:val="24"/>
          <w:szCs w:val="24"/>
        </w:rPr>
        <w:lastRenderedPageBreak/>
        <w:t xml:space="preserve">10.2.2 </w:t>
      </w:r>
      <w:r>
        <w:rPr>
          <w:rFonts w:eastAsia="黑体" w:cs="Times New Roman"/>
          <w:bCs/>
          <w:snapToGrid w:val="0"/>
          <w:color w:val="000000" w:themeColor="text1"/>
          <w:spacing w:val="6"/>
          <w:kern w:val="0"/>
          <w:sz w:val="24"/>
          <w:szCs w:val="24"/>
        </w:rPr>
        <w:t>统计口径</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1</w:t>
      </w:r>
      <w:r>
        <w:rPr>
          <w:rFonts w:eastAsia="仿宋" w:cs="Times New Roman"/>
          <w:bCs/>
          <w:snapToGrid w:val="0"/>
          <w:color w:val="000000" w:themeColor="text1"/>
          <w:spacing w:val="6"/>
          <w:kern w:val="0"/>
          <w:sz w:val="24"/>
          <w:szCs w:val="24"/>
        </w:rPr>
        <w:t>）自身经营的碳排放信息：范围</w:t>
      </w:r>
      <w:proofErr w:type="gramStart"/>
      <w:r>
        <w:rPr>
          <w:rFonts w:eastAsia="仿宋" w:cs="Times New Roman"/>
          <w:bCs/>
          <w:snapToGrid w:val="0"/>
          <w:color w:val="000000" w:themeColor="text1"/>
          <w:spacing w:val="6"/>
          <w:kern w:val="0"/>
          <w:sz w:val="24"/>
          <w:szCs w:val="24"/>
        </w:rPr>
        <w:t>一</w:t>
      </w:r>
      <w:proofErr w:type="gramEnd"/>
      <w:r>
        <w:rPr>
          <w:rFonts w:eastAsia="仿宋" w:cs="Times New Roman"/>
          <w:bCs/>
          <w:snapToGrid w:val="0"/>
          <w:color w:val="000000" w:themeColor="text1"/>
          <w:spacing w:val="6"/>
          <w:kern w:val="0"/>
          <w:sz w:val="24"/>
          <w:szCs w:val="24"/>
        </w:rPr>
        <w:t>经营活动直接碳排放，包括本行自有交通运输工具和采暖（制冷）设备直接能源消耗产生的碳排放等；范围</w:t>
      </w:r>
      <w:proofErr w:type="gramStart"/>
      <w:r>
        <w:rPr>
          <w:rFonts w:eastAsia="仿宋" w:cs="Times New Roman"/>
          <w:bCs/>
          <w:snapToGrid w:val="0"/>
          <w:color w:val="000000" w:themeColor="text1"/>
          <w:spacing w:val="6"/>
          <w:kern w:val="0"/>
          <w:sz w:val="24"/>
          <w:szCs w:val="24"/>
        </w:rPr>
        <w:t>二经营</w:t>
      </w:r>
      <w:proofErr w:type="gramEnd"/>
      <w:r>
        <w:rPr>
          <w:rFonts w:eastAsia="仿宋" w:cs="Times New Roman"/>
          <w:bCs/>
          <w:snapToGrid w:val="0"/>
          <w:color w:val="000000" w:themeColor="text1"/>
          <w:spacing w:val="6"/>
          <w:kern w:val="0"/>
          <w:sz w:val="24"/>
          <w:szCs w:val="24"/>
        </w:rPr>
        <w:t>活动间接碳排放，包括本行营业、办公所外购的电力和热力服务间接能源消耗产生的碳排放等；范围</w:t>
      </w:r>
      <w:proofErr w:type="gramStart"/>
      <w:r>
        <w:rPr>
          <w:rFonts w:eastAsia="仿宋" w:cs="Times New Roman"/>
          <w:bCs/>
          <w:snapToGrid w:val="0"/>
          <w:color w:val="000000" w:themeColor="text1"/>
          <w:spacing w:val="6"/>
          <w:kern w:val="0"/>
          <w:sz w:val="24"/>
          <w:szCs w:val="24"/>
        </w:rPr>
        <w:t>三经营</w:t>
      </w:r>
      <w:proofErr w:type="gramEnd"/>
      <w:r>
        <w:rPr>
          <w:rFonts w:eastAsia="仿宋" w:cs="Times New Roman"/>
          <w:bCs/>
          <w:snapToGrid w:val="0"/>
          <w:color w:val="000000" w:themeColor="text1"/>
          <w:spacing w:val="6"/>
          <w:kern w:val="0"/>
          <w:sz w:val="24"/>
          <w:szCs w:val="24"/>
        </w:rPr>
        <w:t>活动</w:t>
      </w:r>
      <w:proofErr w:type="gramStart"/>
      <w:r>
        <w:rPr>
          <w:rFonts w:eastAsia="仿宋" w:cs="Times New Roman"/>
          <w:bCs/>
          <w:snapToGrid w:val="0"/>
          <w:color w:val="000000" w:themeColor="text1"/>
          <w:spacing w:val="6"/>
          <w:kern w:val="0"/>
          <w:sz w:val="24"/>
          <w:szCs w:val="24"/>
        </w:rPr>
        <w:t>价值链碳排放</w:t>
      </w:r>
      <w:proofErr w:type="gramEnd"/>
      <w:r>
        <w:rPr>
          <w:rFonts w:eastAsia="仿宋" w:cs="Times New Roman"/>
          <w:bCs/>
          <w:snapToGrid w:val="0"/>
          <w:color w:val="000000" w:themeColor="text1"/>
          <w:spacing w:val="6"/>
          <w:kern w:val="0"/>
          <w:sz w:val="24"/>
          <w:szCs w:val="24"/>
        </w:rPr>
        <w:t>，包括购买商品与服务、上游运输和配送、运营中产生的废物，差旅、员工通勤等机构经营活动价值链上游产生的碳排放。</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2</w:t>
      </w:r>
      <w:r>
        <w:rPr>
          <w:rFonts w:eastAsia="仿宋" w:cs="Times New Roman"/>
          <w:bCs/>
          <w:snapToGrid w:val="0"/>
          <w:color w:val="000000" w:themeColor="text1"/>
          <w:spacing w:val="6"/>
          <w:kern w:val="0"/>
          <w:sz w:val="24"/>
          <w:szCs w:val="24"/>
        </w:rPr>
        <w:t>）投融资活动的碳排放信息：项目融资将正式运营超过</w:t>
      </w:r>
      <w:r>
        <w:rPr>
          <w:rFonts w:eastAsia="仿宋" w:cs="Times New Roman"/>
          <w:bCs/>
          <w:snapToGrid w:val="0"/>
          <w:color w:val="000000" w:themeColor="text1"/>
          <w:spacing w:val="6"/>
          <w:kern w:val="0"/>
          <w:sz w:val="24"/>
          <w:szCs w:val="24"/>
        </w:rPr>
        <w:t>30</w:t>
      </w:r>
      <w:r>
        <w:rPr>
          <w:rFonts w:eastAsia="仿宋" w:cs="Times New Roman"/>
          <w:bCs/>
          <w:snapToGrid w:val="0"/>
          <w:color w:val="000000" w:themeColor="text1"/>
          <w:spacing w:val="6"/>
          <w:kern w:val="0"/>
          <w:sz w:val="24"/>
          <w:szCs w:val="24"/>
        </w:rPr>
        <w:t>天的融资项目全部纳入碳排放统计核算披露范围。非项目融资纳入报告期期末贷款余额大于零的制造业企业和报告期期末贷款余额在</w:t>
      </w:r>
      <w:r>
        <w:rPr>
          <w:rFonts w:eastAsia="仿宋" w:cs="Times New Roman"/>
          <w:bCs/>
          <w:snapToGrid w:val="0"/>
          <w:color w:val="000000" w:themeColor="text1"/>
          <w:spacing w:val="6"/>
          <w:kern w:val="0"/>
          <w:sz w:val="24"/>
          <w:szCs w:val="24"/>
        </w:rPr>
        <w:t>500</w:t>
      </w:r>
      <w:r>
        <w:rPr>
          <w:rFonts w:eastAsia="仿宋" w:cs="Times New Roman"/>
          <w:bCs/>
          <w:snapToGrid w:val="0"/>
          <w:color w:val="000000" w:themeColor="text1"/>
          <w:spacing w:val="6"/>
          <w:kern w:val="0"/>
          <w:sz w:val="24"/>
          <w:szCs w:val="24"/>
        </w:rPr>
        <w:t>万元及以上的非制造业企业。</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3</w:t>
      </w:r>
      <w:r>
        <w:rPr>
          <w:rFonts w:eastAsia="仿宋" w:cs="Times New Roman"/>
          <w:bCs/>
          <w:snapToGrid w:val="0"/>
          <w:color w:val="000000" w:themeColor="text1"/>
          <w:spacing w:val="6"/>
          <w:kern w:val="0"/>
          <w:sz w:val="24"/>
          <w:szCs w:val="24"/>
        </w:rPr>
        <w:t>）绿色资产</w:t>
      </w:r>
      <w:proofErr w:type="gramStart"/>
      <w:r>
        <w:rPr>
          <w:rFonts w:eastAsia="仿宋" w:cs="Times New Roman"/>
          <w:bCs/>
          <w:snapToGrid w:val="0"/>
          <w:color w:val="000000" w:themeColor="text1"/>
          <w:spacing w:val="6"/>
          <w:kern w:val="0"/>
          <w:sz w:val="24"/>
          <w:szCs w:val="24"/>
        </w:rPr>
        <w:t>的碳减排</w:t>
      </w:r>
      <w:proofErr w:type="gramEnd"/>
      <w:r>
        <w:rPr>
          <w:rFonts w:eastAsia="仿宋" w:cs="Times New Roman"/>
          <w:bCs/>
          <w:snapToGrid w:val="0"/>
          <w:color w:val="000000" w:themeColor="text1"/>
          <w:spacing w:val="6"/>
          <w:kern w:val="0"/>
          <w:sz w:val="24"/>
          <w:szCs w:val="24"/>
        </w:rPr>
        <w:t>信息：纳入绿色信贷（项目业务）的</w:t>
      </w:r>
      <w:proofErr w:type="gramStart"/>
      <w:r>
        <w:rPr>
          <w:rFonts w:eastAsia="仿宋" w:cs="Times New Roman"/>
          <w:bCs/>
          <w:snapToGrid w:val="0"/>
          <w:color w:val="000000" w:themeColor="text1"/>
          <w:spacing w:val="6"/>
          <w:kern w:val="0"/>
          <w:sz w:val="24"/>
          <w:szCs w:val="24"/>
        </w:rPr>
        <w:t>碳减排信息</w:t>
      </w:r>
      <w:proofErr w:type="gramEnd"/>
      <w:r>
        <w:rPr>
          <w:rFonts w:eastAsia="仿宋" w:cs="Times New Roman"/>
          <w:bCs/>
          <w:snapToGrid w:val="0"/>
          <w:color w:val="000000" w:themeColor="text1"/>
          <w:spacing w:val="6"/>
          <w:kern w:val="0"/>
          <w:sz w:val="24"/>
          <w:szCs w:val="24"/>
        </w:rPr>
        <w:t>和报告期期末持有的绿色债券的</w:t>
      </w:r>
      <w:proofErr w:type="gramStart"/>
      <w:r>
        <w:rPr>
          <w:rFonts w:eastAsia="仿宋" w:cs="Times New Roman"/>
          <w:bCs/>
          <w:snapToGrid w:val="0"/>
          <w:color w:val="000000" w:themeColor="text1"/>
          <w:spacing w:val="6"/>
          <w:kern w:val="0"/>
          <w:sz w:val="24"/>
          <w:szCs w:val="24"/>
        </w:rPr>
        <w:t>碳减排信息</w:t>
      </w:r>
      <w:proofErr w:type="gramEnd"/>
      <w:r>
        <w:rPr>
          <w:rFonts w:eastAsia="仿宋" w:cs="Times New Roman"/>
          <w:bCs/>
          <w:snapToGrid w:val="0"/>
          <w:color w:val="000000" w:themeColor="text1"/>
          <w:spacing w:val="6"/>
          <w:kern w:val="0"/>
          <w:sz w:val="24"/>
          <w:szCs w:val="24"/>
        </w:rPr>
        <w:t>这两类。绿色信贷（非项目业务）鉴于目前缺乏有效的</w:t>
      </w:r>
      <w:proofErr w:type="gramStart"/>
      <w:r>
        <w:rPr>
          <w:rFonts w:eastAsia="仿宋" w:cs="Times New Roman"/>
          <w:bCs/>
          <w:snapToGrid w:val="0"/>
          <w:color w:val="000000" w:themeColor="text1"/>
          <w:spacing w:val="6"/>
          <w:kern w:val="0"/>
          <w:sz w:val="24"/>
          <w:szCs w:val="24"/>
        </w:rPr>
        <w:t>企业碳减排</w:t>
      </w:r>
      <w:proofErr w:type="gramEnd"/>
      <w:r>
        <w:rPr>
          <w:rFonts w:eastAsia="仿宋" w:cs="Times New Roman"/>
          <w:bCs/>
          <w:snapToGrid w:val="0"/>
          <w:color w:val="000000" w:themeColor="text1"/>
          <w:spacing w:val="6"/>
          <w:kern w:val="0"/>
          <w:sz w:val="24"/>
          <w:szCs w:val="24"/>
        </w:rPr>
        <w:t>核算方法，本次不单独核算披露绿色信贷（非项目业务）</w:t>
      </w:r>
      <w:proofErr w:type="gramStart"/>
      <w:r>
        <w:rPr>
          <w:rFonts w:eastAsia="仿宋" w:cs="Times New Roman"/>
          <w:bCs/>
          <w:snapToGrid w:val="0"/>
          <w:color w:val="000000" w:themeColor="text1"/>
          <w:spacing w:val="6"/>
          <w:kern w:val="0"/>
          <w:sz w:val="24"/>
          <w:szCs w:val="24"/>
        </w:rPr>
        <w:t>的碳减排</w:t>
      </w:r>
      <w:proofErr w:type="gramEnd"/>
      <w:r>
        <w:rPr>
          <w:rFonts w:eastAsia="仿宋" w:cs="Times New Roman"/>
          <w:bCs/>
          <w:snapToGrid w:val="0"/>
          <w:color w:val="000000" w:themeColor="text1"/>
          <w:spacing w:val="6"/>
          <w:kern w:val="0"/>
          <w:sz w:val="24"/>
          <w:szCs w:val="24"/>
        </w:rPr>
        <w:t>信息。</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黑体" w:cs="Times New Roman"/>
          <w:bCs/>
          <w:snapToGrid w:val="0"/>
          <w:color w:val="000000" w:themeColor="text1"/>
          <w:spacing w:val="6"/>
          <w:kern w:val="0"/>
          <w:sz w:val="24"/>
          <w:szCs w:val="24"/>
        </w:rPr>
      </w:pPr>
      <w:r>
        <w:rPr>
          <w:rFonts w:eastAsia="黑体" w:cs="Times New Roman"/>
          <w:bCs/>
          <w:snapToGrid w:val="0"/>
          <w:color w:val="000000" w:themeColor="text1"/>
          <w:spacing w:val="6"/>
          <w:kern w:val="0"/>
          <w:sz w:val="24"/>
          <w:szCs w:val="24"/>
        </w:rPr>
        <w:t xml:space="preserve">10.2.3 </w:t>
      </w:r>
      <w:r>
        <w:rPr>
          <w:rFonts w:eastAsia="黑体" w:cs="Times New Roman"/>
          <w:bCs/>
          <w:snapToGrid w:val="0"/>
          <w:color w:val="000000" w:themeColor="text1"/>
          <w:spacing w:val="6"/>
          <w:kern w:val="0"/>
          <w:sz w:val="24"/>
          <w:szCs w:val="24"/>
        </w:rPr>
        <w:t>测算方法</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本行部署了经国际权威机构认证的金融碳核算系统，本次金融碳核算工作流程严格按照中国人民银行发布的《金融机构碳核算技术指南（试行）》和温室气体排放核算相关国家标准及指南确定核算边界与方法，识别排放源，收集活动水平数据，选择或测算排放因子，计算与汇总自身经营碳排放量、投融资碳排放量</w:t>
      </w:r>
      <w:proofErr w:type="gramStart"/>
      <w:r>
        <w:rPr>
          <w:rFonts w:eastAsia="仿宋" w:cs="Times New Roman"/>
          <w:bCs/>
          <w:snapToGrid w:val="0"/>
          <w:color w:val="000000" w:themeColor="text1"/>
          <w:spacing w:val="6"/>
          <w:kern w:val="0"/>
          <w:sz w:val="24"/>
          <w:szCs w:val="24"/>
        </w:rPr>
        <w:t>或碳减</w:t>
      </w:r>
      <w:proofErr w:type="gramEnd"/>
      <w:r>
        <w:rPr>
          <w:rFonts w:eastAsia="仿宋" w:cs="Times New Roman"/>
          <w:bCs/>
          <w:snapToGrid w:val="0"/>
          <w:color w:val="000000" w:themeColor="text1"/>
          <w:spacing w:val="6"/>
          <w:kern w:val="0"/>
          <w:sz w:val="24"/>
          <w:szCs w:val="24"/>
        </w:rPr>
        <w:t>排量。</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1</w:t>
      </w:r>
      <w:r>
        <w:rPr>
          <w:rFonts w:eastAsia="仿宋" w:cs="Times New Roman"/>
          <w:bCs/>
          <w:snapToGrid w:val="0"/>
          <w:color w:val="000000" w:themeColor="text1"/>
          <w:spacing w:val="6"/>
          <w:kern w:val="0"/>
          <w:sz w:val="24"/>
          <w:szCs w:val="24"/>
        </w:rPr>
        <w:t>）自身经营的碳排放测算方法：本行自身经营范围</w:t>
      </w:r>
      <w:proofErr w:type="gramStart"/>
      <w:r>
        <w:rPr>
          <w:rFonts w:eastAsia="仿宋" w:cs="Times New Roman"/>
          <w:bCs/>
          <w:snapToGrid w:val="0"/>
          <w:color w:val="000000" w:themeColor="text1"/>
          <w:spacing w:val="6"/>
          <w:kern w:val="0"/>
          <w:sz w:val="24"/>
          <w:szCs w:val="24"/>
        </w:rPr>
        <w:t>一</w:t>
      </w:r>
      <w:proofErr w:type="gramEnd"/>
      <w:r>
        <w:rPr>
          <w:rFonts w:eastAsia="仿宋" w:cs="Times New Roman"/>
          <w:bCs/>
          <w:snapToGrid w:val="0"/>
          <w:color w:val="000000" w:themeColor="text1"/>
          <w:spacing w:val="6"/>
          <w:kern w:val="0"/>
          <w:sz w:val="24"/>
          <w:szCs w:val="24"/>
        </w:rPr>
        <w:t>直接碳排放和范围二间接碳排放，测算方法采用《公共建筑运营单位（企业）温室气体排放核算方法和报告指南（试行）》，活动水平通过实际监测获得实景数据，关键的电力排放因子采用生态环境部、国家统计局最新公布的电力二氧化碳排放因子。本行自身经营范围</w:t>
      </w:r>
      <w:proofErr w:type="gramStart"/>
      <w:r>
        <w:rPr>
          <w:rFonts w:eastAsia="仿宋" w:cs="Times New Roman"/>
          <w:bCs/>
          <w:snapToGrid w:val="0"/>
          <w:color w:val="000000" w:themeColor="text1"/>
          <w:spacing w:val="6"/>
          <w:kern w:val="0"/>
          <w:sz w:val="24"/>
          <w:szCs w:val="24"/>
        </w:rPr>
        <w:t>三价值链碳</w:t>
      </w:r>
      <w:proofErr w:type="gramEnd"/>
      <w:r>
        <w:rPr>
          <w:rFonts w:eastAsia="仿宋" w:cs="Times New Roman"/>
          <w:bCs/>
          <w:snapToGrid w:val="0"/>
          <w:color w:val="000000" w:themeColor="text1"/>
          <w:spacing w:val="6"/>
          <w:kern w:val="0"/>
          <w:sz w:val="24"/>
          <w:szCs w:val="24"/>
        </w:rPr>
        <w:t>排放测算方法采用国际通行的温室气体核算体系（</w:t>
      </w:r>
      <w:r>
        <w:rPr>
          <w:rFonts w:eastAsia="仿宋" w:cs="Times New Roman"/>
          <w:bCs/>
          <w:snapToGrid w:val="0"/>
          <w:color w:val="000000" w:themeColor="text1"/>
          <w:spacing w:val="6"/>
          <w:kern w:val="0"/>
          <w:sz w:val="24"/>
          <w:szCs w:val="24"/>
        </w:rPr>
        <w:t>GHG Protocol</w:t>
      </w:r>
      <w:r>
        <w:rPr>
          <w:rFonts w:eastAsia="仿宋" w:cs="Times New Roman"/>
          <w:bCs/>
          <w:snapToGrid w:val="0"/>
          <w:color w:val="000000" w:themeColor="text1"/>
          <w:spacing w:val="6"/>
          <w:kern w:val="0"/>
          <w:sz w:val="24"/>
          <w:szCs w:val="24"/>
        </w:rPr>
        <w:t>）《企业价值链（范围三）核算与报告标准》，活动水平包括购买商品与服务、上游运输和配送、运营中产生的废物，差旅、员工通勤数据通过实际监测和合理估算获取，价值链排放因子采用《中国产品全生命周期温室气体排放系数集（</w:t>
      </w:r>
      <w:r>
        <w:rPr>
          <w:rFonts w:eastAsia="仿宋" w:cs="Times New Roman"/>
          <w:bCs/>
          <w:snapToGrid w:val="0"/>
          <w:color w:val="000000" w:themeColor="text1"/>
          <w:spacing w:val="6"/>
          <w:kern w:val="0"/>
          <w:sz w:val="24"/>
          <w:szCs w:val="24"/>
        </w:rPr>
        <w:t>2022</w:t>
      </w:r>
      <w:r>
        <w:rPr>
          <w:rFonts w:eastAsia="仿宋" w:cs="Times New Roman"/>
          <w:bCs/>
          <w:snapToGrid w:val="0"/>
          <w:color w:val="000000" w:themeColor="text1"/>
          <w:spacing w:val="6"/>
          <w:kern w:val="0"/>
          <w:sz w:val="24"/>
          <w:szCs w:val="24"/>
        </w:rPr>
        <w:t>）》。本行总行、分支行均单独核算自身经营碳排放，生成独立《碳排放报告》，并且报告生成后活动水平数据被锁定不可篡改，确保数据可追溯、可验证、可核查。</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2</w:t>
      </w:r>
      <w:r>
        <w:rPr>
          <w:rFonts w:eastAsia="仿宋" w:cs="Times New Roman"/>
          <w:bCs/>
          <w:snapToGrid w:val="0"/>
          <w:color w:val="000000" w:themeColor="text1"/>
          <w:spacing w:val="6"/>
          <w:kern w:val="0"/>
          <w:sz w:val="24"/>
          <w:szCs w:val="24"/>
        </w:rPr>
        <w:t>）投融资活动的碳排放测算方法：本行投融资碳排放</w:t>
      </w:r>
      <w:proofErr w:type="gramStart"/>
      <w:r>
        <w:rPr>
          <w:rFonts w:eastAsia="仿宋" w:cs="Times New Roman"/>
          <w:bCs/>
          <w:snapToGrid w:val="0"/>
          <w:color w:val="000000" w:themeColor="text1"/>
          <w:spacing w:val="6"/>
          <w:kern w:val="0"/>
          <w:sz w:val="24"/>
          <w:szCs w:val="24"/>
        </w:rPr>
        <w:t>测算按</w:t>
      </w:r>
      <w:proofErr w:type="gramEnd"/>
      <w:r>
        <w:rPr>
          <w:rFonts w:eastAsia="仿宋" w:cs="Times New Roman"/>
          <w:bCs/>
          <w:snapToGrid w:val="0"/>
          <w:color w:val="000000" w:themeColor="text1"/>
          <w:spacing w:val="6"/>
          <w:kern w:val="0"/>
          <w:sz w:val="24"/>
          <w:szCs w:val="24"/>
        </w:rPr>
        <w:t>项目融资、非项目融资和债券投资分别计算每一个融资主体</w:t>
      </w:r>
      <w:proofErr w:type="gramStart"/>
      <w:r>
        <w:rPr>
          <w:rFonts w:eastAsia="仿宋" w:cs="Times New Roman"/>
          <w:bCs/>
          <w:snapToGrid w:val="0"/>
          <w:color w:val="000000" w:themeColor="text1"/>
          <w:spacing w:val="6"/>
          <w:kern w:val="0"/>
          <w:sz w:val="24"/>
          <w:szCs w:val="24"/>
        </w:rPr>
        <w:t>报告期碳排放</w:t>
      </w:r>
      <w:proofErr w:type="gramEnd"/>
      <w:r>
        <w:rPr>
          <w:rFonts w:eastAsia="仿宋" w:cs="Times New Roman"/>
          <w:bCs/>
          <w:snapToGrid w:val="0"/>
          <w:color w:val="000000" w:themeColor="text1"/>
          <w:spacing w:val="6"/>
          <w:kern w:val="0"/>
          <w:sz w:val="24"/>
          <w:szCs w:val="24"/>
        </w:rPr>
        <w:t>（范围</w:t>
      </w:r>
      <w:proofErr w:type="gramStart"/>
      <w:r>
        <w:rPr>
          <w:rFonts w:eastAsia="仿宋" w:cs="Times New Roman"/>
          <w:bCs/>
          <w:snapToGrid w:val="0"/>
          <w:color w:val="000000" w:themeColor="text1"/>
          <w:spacing w:val="6"/>
          <w:kern w:val="0"/>
          <w:sz w:val="24"/>
          <w:szCs w:val="24"/>
        </w:rPr>
        <w:t>一</w:t>
      </w:r>
      <w:proofErr w:type="gramEnd"/>
      <w:r>
        <w:rPr>
          <w:rFonts w:eastAsia="仿宋" w:cs="Times New Roman"/>
          <w:bCs/>
          <w:snapToGrid w:val="0"/>
          <w:color w:val="000000" w:themeColor="text1"/>
          <w:spacing w:val="6"/>
          <w:kern w:val="0"/>
          <w:sz w:val="24"/>
          <w:szCs w:val="24"/>
        </w:rPr>
        <w:t>+</w:t>
      </w:r>
      <w:r>
        <w:rPr>
          <w:rFonts w:eastAsia="仿宋" w:cs="Times New Roman"/>
          <w:bCs/>
          <w:snapToGrid w:val="0"/>
          <w:color w:val="000000" w:themeColor="text1"/>
          <w:spacing w:val="6"/>
          <w:kern w:val="0"/>
          <w:sz w:val="24"/>
          <w:szCs w:val="24"/>
        </w:rPr>
        <w:t>范围二），再通过归因因子折算本行投融资对应份额，然后分别汇总。投融资主体如已有《碳核查报告》《碳排放报告》或项目可</w:t>
      </w:r>
      <w:proofErr w:type="gramStart"/>
      <w:r>
        <w:rPr>
          <w:rFonts w:eastAsia="仿宋" w:cs="Times New Roman"/>
          <w:bCs/>
          <w:snapToGrid w:val="0"/>
          <w:color w:val="000000" w:themeColor="text1"/>
          <w:spacing w:val="6"/>
          <w:kern w:val="0"/>
          <w:sz w:val="24"/>
          <w:szCs w:val="24"/>
        </w:rPr>
        <w:t>研</w:t>
      </w:r>
      <w:proofErr w:type="gramEnd"/>
      <w:r>
        <w:rPr>
          <w:rFonts w:eastAsia="仿宋" w:cs="Times New Roman"/>
          <w:bCs/>
          <w:snapToGrid w:val="0"/>
          <w:color w:val="000000" w:themeColor="text1"/>
          <w:spacing w:val="6"/>
          <w:kern w:val="0"/>
          <w:sz w:val="24"/>
          <w:szCs w:val="24"/>
        </w:rPr>
        <w:t>报告、环评报告、节能报告碳排放数据的，直接采用该碳排放数据计算；如无直接碳排放数据来源，则测算方法采用国家市场监督管理总局</w:t>
      </w:r>
      <w:r>
        <w:rPr>
          <w:rFonts w:eastAsia="仿宋" w:cs="Times New Roman"/>
          <w:bCs/>
          <w:snapToGrid w:val="0"/>
          <w:color w:val="000000" w:themeColor="text1"/>
          <w:spacing w:val="6"/>
          <w:kern w:val="0"/>
          <w:sz w:val="24"/>
          <w:szCs w:val="24"/>
        </w:rPr>
        <w:t>12</w:t>
      </w:r>
      <w:r>
        <w:rPr>
          <w:rFonts w:eastAsia="仿宋" w:cs="Times New Roman"/>
          <w:bCs/>
          <w:snapToGrid w:val="0"/>
          <w:color w:val="000000" w:themeColor="text1"/>
          <w:spacing w:val="6"/>
          <w:kern w:val="0"/>
          <w:sz w:val="24"/>
          <w:szCs w:val="24"/>
        </w:rPr>
        <w:t>个行业温室气体排放核算国家标准和</w:t>
      </w:r>
      <w:proofErr w:type="gramStart"/>
      <w:r>
        <w:rPr>
          <w:rFonts w:eastAsia="仿宋" w:cs="Times New Roman"/>
          <w:bCs/>
          <w:snapToGrid w:val="0"/>
          <w:color w:val="000000" w:themeColor="text1"/>
          <w:spacing w:val="6"/>
          <w:kern w:val="0"/>
          <w:sz w:val="24"/>
          <w:szCs w:val="24"/>
        </w:rPr>
        <w:t>国家发改委</w:t>
      </w:r>
      <w:proofErr w:type="gramEnd"/>
      <w:r>
        <w:rPr>
          <w:rFonts w:eastAsia="仿宋" w:cs="Times New Roman"/>
          <w:bCs/>
          <w:snapToGrid w:val="0"/>
          <w:color w:val="000000" w:themeColor="text1"/>
          <w:spacing w:val="6"/>
          <w:kern w:val="0"/>
          <w:sz w:val="24"/>
          <w:szCs w:val="24"/>
        </w:rPr>
        <w:t>24</w:t>
      </w:r>
      <w:r>
        <w:rPr>
          <w:rFonts w:eastAsia="仿宋" w:cs="Times New Roman"/>
          <w:bCs/>
          <w:snapToGrid w:val="0"/>
          <w:color w:val="000000" w:themeColor="text1"/>
          <w:spacing w:val="6"/>
          <w:kern w:val="0"/>
          <w:sz w:val="24"/>
          <w:szCs w:val="24"/>
        </w:rPr>
        <w:t>个行业温室气体排放核算方法与报告指南，范围</w:t>
      </w:r>
      <w:proofErr w:type="gramStart"/>
      <w:r>
        <w:rPr>
          <w:rFonts w:eastAsia="仿宋" w:cs="Times New Roman"/>
          <w:bCs/>
          <w:snapToGrid w:val="0"/>
          <w:color w:val="000000" w:themeColor="text1"/>
          <w:spacing w:val="6"/>
          <w:kern w:val="0"/>
          <w:sz w:val="24"/>
          <w:szCs w:val="24"/>
        </w:rPr>
        <w:t>一</w:t>
      </w:r>
      <w:proofErr w:type="gramEnd"/>
      <w:r>
        <w:rPr>
          <w:rFonts w:eastAsia="仿宋" w:cs="Times New Roman"/>
          <w:bCs/>
          <w:snapToGrid w:val="0"/>
          <w:color w:val="000000" w:themeColor="text1"/>
          <w:spacing w:val="6"/>
          <w:kern w:val="0"/>
          <w:sz w:val="24"/>
          <w:szCs w:val="24"/>
        </w:rPr>
        <w:t>+</w:t>
      </w:r>
      <w:r>
        <w:rPr>
          <w:rFonts w:eastAsia="仿宋" w:cs="Times New Roman"/>
          <w:bCs/>
          <w:snapToGrid w:val="0"/>
          <w:color w:val="000000" w:themeColor="text1"/>
          <w:spacing w:val="6"/>
          <w:kern w:val="0"/>
          <w:sz w:val="24"/>
          <w:szCs w:val="24"/>
        </w:rPr>
        <w:t>范围</w:t>
      </w:r>
      <w:proofErr w:type="gramStart"/>
      <w:r>
        <w:rPr>
          <w:rFonts w:eastAsia="仿宋" w:cs="Times New Roman"/>
          <w:bCs/>
          <w:snapToGrid w:val="0"/>
          <w:color w:val="000000" w:themeColor="text1"/>
          <w:spacing w:val="6"/>
          <w:kern w:val="0"/>
          <w:sz w:val="24"/>
          <w:szCs w:val="24"/>
        </w:rPr>
        <w:t>二活动</w:t>
      </w:r>
      <w:proofErr w:type="gramEnd"/>
      <w:r>
        <w:rPr>
          <w:rFonts w:eastAsia="仿宋" w:cs="Times New Roman"/>
          <w:bCs/>
          <w:snapToGrid w:val="0"/>
          <w:color w:val="000000" w:themeColor="text1"/>
          <w:spacing w:val="6"/>
          <w:kern w:val="0"/>
          <w:sz w:val="24"/>
          <w:szCs w:val="24"/>
        </w:rPr>
        <w:t>水平通过企业客户实际监测获得实景数据，化石燃料排放因子采用生态环境部最新公布的常用化石燃料相关参数缺省值和工业过程排放因子缺省值，电力排放因子采用生态环境部、国家统计局最新公布的电力二氧化碳排放因子。每家投融资企业和项目均单独核算碳排放，生成独立《碳排放报告》，并且报告生成后活动水平锁定不可篡改，确保数据可追溯、可验证、可核查。</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3</w:t>
      </w:r>
      <w:r>
        <w:rPr>
          <w:rFonts w:eastAsia="仿宋" w:cs="Times New Roman"/>
          <w:bCs/>
          <w:snapToGrid w:val="0"/>
          <w:color w:val="000000" w:themeColor="text1"/>
          <w:spacing w:val="6"/>
          <w:kern w:val="0"/>
          <w:sz w:val="24"/>
          <w:szCs w:val="24"/>
        </w:rPr>
        <w:t>）绿色资产</w:t>
      </w:r>
      <w:proofErr w:type="gramStart"/>
      <w:r>
        <w:rPr>
          <w:rFonts w:eastAsia="仿宋" w:cs="Times New Roman"/>
          <w:bCs/>
          <w:snapToGrid w:val="0"/>
          <w:color w:val="000000" w:themeColor="text1"/>
          <w:spacing w:val="6"/>
          <w:kern w:val="0"/>
          <w:sz w:val="24"/>
          <w:szCs w:val="24"/>
        </w:rPr>
        <w:t>的碳减排</w:t>
      </w:r>
      <w:proofErr w:type="gramEnd"/>
      <w:r>
        <w:rPr>
          <w:rFonts w:eastAsia="仿宋" w:cs="Times New Roman"/>
          <w:bCs/>
          <w:snapToGrid w:val="0"/>
          <w:color w:val="000000" w:themeColor="text1"/>
          <w:spacing w:val="6"/>
          <w:kern w:val="0"/>
          <w:sz w:val="24"/>
          <w:szCs w:val="24"/>
        </w:rPr>
        <w:t>测算方法：先收集每一个绿色项目和绿色债券报告</w:t>
      </w:r>
      <w:proofErr w:type="gramStart"/>
      <w:r>
        <w:rPr>
          <w:rFonts w:eastAsia="仿宋" w:cs="Times New Roman"/>
          <w:bCs/>
          <w:snapToGrid w:val="0"/>
          <w:color w:val="000000" w:themeColor="text1"/>
          <w:spacing w:val="6"/>
          <w:kern w:val="0"/>
          <w:sz w:val="24"/>
          <w:szCs w:val="24"/>
        </w:rPr>
        <w:t>期碳减</w:t>
      </w:r>
      <w:proofErr w:type="gramEnd"/>
      <w:r>
        <w:rPr>
          <w:rFonts w:eastAsia="仿宋" w:cs="Times New Roman"/>
          <w:bCs/>
          <w:snapToGrid w:val="0"/>
          <w:color w:val="000000" w:themeColor="text1"/>
          <w:spacing w:val="6"/>
          <w:kern w:val="0"/>
          <w:sz w:val="24"/>
          <w:szCs w:val="24"/>
        </w:rPr>
        <w:t>排数据，再通过归因因子折算本行绿色资产对应份额，然后分别汇总。绿色项目和绿色债</w:t>
      </w:r>
      <w:r>
        <w:rPr>
          <w:rFonts w:eastAsia="仿宋" w:cs="Times New Roman"/>
          <w:bCs/>
          <w:snapToGrid w:val="0"/>
          <w:color w:val="000000" w:themeColor="text1"/>
          <w:spacing w:val="6"/>
          <w:kern w:val="0"/>
          <w:sz w:val="24"/>
          <w:szCs w:val="24"/>
        </w:rPr>
        <w:lastRenderedPageBreak/>
        <w:t>券类型属于相关主管部门及各级政府确定的重点用能单位、重点排放单位及纳入碳排放交易的单位的，本行收集《项目碳减排报告》或可</w:t>
      </w:r>
      <w:proofErr w:type="gramStart"/>
      <w:r>
        <w:rPr>
          <w:rFonts w:eastAsia="仿宋" w:cs="Times New Roman"/>
          <w:bCs/>
          <w:snapToGrid w:val="0"/>
          <w:color w:val="000000" w:themeColor="text1"/>
          <w:spacing w:val="6"/>
          <w:kern w:val="0"/>
          <w:sz w:val="24"/>
          <w:szCs w:val="24"/>
        </w:rPr>
        <w:t>研</w:t>
      </w:r>
      <w:proofErr w:type="gramEnd"/>
      <w:r>
        <w:rPr>
          <w:rFonts w:eastAsia="仿宋" w:cs="Times New Roman"/>
          <w:bCs/>
          <w:snapToGrid w:val="0"/>
          <w:color w:val="000000" w:themeColor="text1"/>
          <w:spacing w:val="6"/>
          <w:kern w:val="0"/>
          <w:sz w:val="24"/>
          <w:szCs w:val="24"/>
        </w:rPr>
        <w:t>报告、环评报告、节能报告中数据，并按照评估报告的结果汇总计算</w:t>
      </w:r>
      <w:proofErr w:type="gramStart"/>
      <w:r>
        <w:rPr>
          <w:rFonts w:eastAsia="仿宋" w:cs="Times New Roman"/>
          <w:bCs/>
          <w:snapToGrid w:val="0"/>
          <w:color w:val="000000" w:themeColor="text1"/>
          <w:spacing w:val="6"/>
          <w:kern w:val="0"/>
          <w:sz w:val="24"/>
          <w:szCs w:val="24"/>
        </w:rPr>
        <w:t>其碳减排</w:t>
      </w:r>
      <w:proofErr w:type="gramEnd"/>
      <w:r>
        <w:rPr>
          <w:rFonts w:eastAsia="仿宋" w:cs="Times New Roman"/>
          <w:bCs/>
          <w:snapToGrid w:val="0"/>
          <w:color w:val="000000" w:themeColor="text1"/>
          <w:spacing w:val="6"/>
          <w:kern w:val="0"/>
          <w:sz w:val="24"/>
          <w:szCs w:val="24"/>
        </w:rPr>
        <w:t>数据。对于其他类型，本行要求融资主体提供符合相关标准、技术指南及方法学等要求</w:t>
      </w:r>
      <w:proofErr w:type="gramStart"/>
      <w:r>
        <w:rPr>
          <w:rFonts w:eastAsia="仿宋" w:cs="Times New Roman"/>
          <w:bCs/>
          <w:snapToGrid w:val="0"/>
          <w:color w:val="000000" w:themeColor="text1"/>
          <w:spacing w:val="6"/>
          <w:kern w:val="0"/>
          <w:sz w:val="24"/>
          <w:szCs w:val="24"/>
        </w:rPr>
        <w:t>的碳减排</w:t>
      </w:r>
      <w:proofErr w:type="gramEnd"/>
      <w:r>
        <w:rPr>
          <w:rFonts w:eastAsia="仿宋" w:cs="Times New Roman"/>
          <w:bCs/>
          <w:snapToGrid w:val="0"/>
          <w:color w:val="000000" w:themeColor="text1"/>
          <w:spacing w:val="6"/>
          <w:kern w:val="0"/>
          <w:sz w:val="24"/>
          <w:szCs w:val="24"/>
        </w:rPr>
        <w:t>评估数据。</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4</w:t>
      </w:r>
      <w:r>
        <w:rPr>
          <w:rFonts w:eastAsia="仿宋" w:cs="Times New Roman"/>
          <w:bCs/>
          <w:snapToGrid w:val="0"/>
          <w:color w:val="000000" w:themeColor="text1"/>
          <w:spacing w:val="6"/>
          <w:kern w:val="0"/>
          <w:sz w:val="24"/>
          <w:szCs w:val="24"/>
        </w:rPr>
        <w:t>）归因因子测算方法：项目业务归因因子，本行根据对项目的投资额（报告期）与项目总投资（报告期）的比例分摊折算项目融资业务对应的碳排放量和</w:t>
      </w:r>
      <w:proofErr w:type="gramStart"/>
      <w:r>
        <w:rPr>
          <w:rFonts w:eastAsia="仿宋" w:cs="Times New Roman"/>
          <w:bCs/>
          <w:snapToGrid w:val="0"/>
          <w:color w:val="000000" w:themeColor="text1"/>
          <w:spacing w:val="6"/>
          <w:kern w:val="0"/>
          <w:sz w:val="24"/>
          <w:szCs w:val="24"/>
        </w:rPr>
        <w:t>碳减</w:t>
      </w:r>
      <w:proofErr w:type="gramEnd"/>
      <w:r>
        <w:rPr>
          <w:rFonts w:eastAsia="仿宋" w:cs="Times New Roman"/>
          <w:bCs/>
          <w:snapToGrid w:val="0"/>
          <w:color w:val="000000" w:themeColor="text1"/>
          <w:spacing w:val="6"/>
          <w:kern w:val="0"/>
          <w:sz w:val="24"/>
          <w:szCs w:val="24"/>
        </w:rPr>
        <w:t>排量。非项目业务和债券投资归因因子，依据对融资主体的融资额（报告期）与融资主体主营业务收入（报告期）的比例分摊折算对应的碳排放量和</w:t>
      </w:r>
      <w:proofErr w:type="gramStart"/>
      <w:r>
        <w:rPr>
          <w:rFonts w:eastAsia="仿宋" w:cs="Times New Roman"/>
          <w:bCs/>
          <w:snapToGrid w:val="0"/>
          <w:color w:val="000000" w:themeColor="text1"/>
          <w:spacing w:val="6"/>
          <w:kern w:val="0"/>
          <w:sz w:val="24"/>
          <w:szCs w:val="24"/>
        </w:rPr>
        <w:t>碳减</w:t>
      </w:r>
      <w:proofErr w:type="gramEnd"/>
      <w:r>
        <w:rPr>
          <w:rFonts w:eastAsia="仿宋" w:cs="Times New Roman"/>
          <w:bCs/>
          <w:snapToGrid w:val="0"/>
          <w:color w:val="000000" w:themeColor="text1"/>
          <w:spacing w:val="6"/>
          <w:kern w:val="0"/>
          <w:sz w:val="24"/>
          <w:szCs w:val="24"/>
        </w:rPr>
        <w:t>排量。</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黑体" w:cs="Times New Roman"/>
          <w:bCs/>
          <w:snapToGrid w:val="0"/>
          <w:color w:val="000000" w:themeColor="text1"/>
          <w:spacing w:val="6"/>
          <w:kern w:val="0"/>
          <w:sz w:val="24"/>
          <w:szCs w:val="24"/>
        </w:rPr>
      </w:pPr>
      <w:r>
        <w:rPr>
          <w:rFonts w:eastAsia="黑体" w:cs="Times New Roman"/>
          <w:bCs/>
          <w:snapToGrid w:val="0"/>
          <w:color w:val="000000" w:themeColor="text1"/>
          <w:spacing w:val="6"/>
          <w:kern w:val="0"/>
          <w:sz w:val="24"/>
          <w:szCs w:val="24"/>
        </w:rPr>
        <w:t xml:space="preserve">10.2.4 </w:t>
      </w:r>
      <w:r>
        <w:rPr>
          <w:rFonts w:eastAsia="黑体" w:cs="Times New Roman"/>
          <w:bCs/>
          <w:snapToGrid w:val="0"/>
          <w:color w:val="000000" w:themeColor="text1"/>
          <w:spacing w:val="6"/>
          <w:kern w:val="0"/>
          <w:sz w:val="24"/>
          <w:szCs w:val="24"/>
        </w:rPr>
        <w:t>数据质量保障措施</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1</w:t>
      </w:r>
      <w:r>
        <w:rPr>
          <w:rFonts w:eastAsia="仿宋" w:cs="Times New Roman"/>
          <w:bCs/>
          <w:snapToGrid w:val="0"/>
          <w:color w:val="000000" w:themeColor="text1"/>
          <w:spacing w:val="6"/>
          <w:kern w:val="0"/>
          <w:sz w:val="24"/>
          <w:szCs w:val="24"/>
        </w:rPr>
        <w:t>）环境相关数据质量的梳理和校验：定期进行数据质量评估，包括完整性、准确性、一致性和时效性；使用自动化工具进行数据清洗和校验，减少人工错误；建立数据质量标准，并确保所有收集和处理的数据都符合标准。</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2</w:t>
      </w:r>
      <w:r>
        <w:rPr>
          <w:rFonts w:eastAsia="仿宋" w:cs="Times New Roman"/>
          <w:bCs/>
          <w:snapToGrid w:val="0"/>
          <w:color w:val="000000" w:themeColor="text1"/>
          <w:spacing w:val="6"/>
          <w:kern w:val="0"/>
          <w:sz w:val="24"/>
          <w:szCs w:val="24"/>
        </w:rPr>
        <w:t>）提升基础数据质量：对数据来源进行严格的审核，确保数据的可靠性和准确性；开展数据质量培训，增强员工的数据意识和处理能力；实施数据治理策略，确保数据的规范管理和使用。</w:t>
      </w:r>
    </w:p>
    <w:p w:rsidR="00EE0247" w:rsidRDefault="007240D0" w:rsidP="00D241E6">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3</w:t>
      </w:r>
      <w:r>
        <w:rPr>
          <w:rFonts w:eastAsia="仿宋" w:cs="Times New Roman"/>
          <w:bCs/>
          <w:snapToGrid w:val="0"/>
          <w:color w:val="000000" w:themeColor="text1"/>
          <w:spacing w:val="6"/>
          <w:kern w:val="0"/>
          <w:sz w:val="24"/>
          <w:szCs w:val="24"/>
        </w:rPr>
        <w:t>）保证数据披露的及时性、准确性：建立数据更新和披露的定时机制，确保信息的时效性；在披露前对数据进行严格的审核和校验，确保准确性；使用先进的技术手段，如实时数据处理和可视化工具，提高信息披露的效率和质量。</w:t>
      </w:r>
    </w:p>
    <w:p w:rsidR="00EE0247" w:rsidRDefault="007240D0" w:rsidP="006E5BF4">
      <w:pPr>
        <w:widowControl/>
        <w:kinsoku w:val="0"/>
        <w:autoSpaceDE w:val="0"/>
        <w:autoSpaceDN w:val="0"/>
        <w:adjustRightInd w:val="0"/>
        <w:snapToGrid w:val="0"/>
        <w:spacing w:beforeLines="50" w:line="240" w:lineRule="auto"/>
        <w:ind w:firstLine="504"/>
        <w:textAlignment w:val="baseline"/>
        <w:rPr>
          <w:rFonts w:eastAsia="仿宋" w:cs="Times New Roman"/>
          <w:bCs/>
          <w:snapToGrid w:val="0"/>
          <w:color w:val="000000" w:themeColor="text1"/>
          <w:spacing w:val="6"/>
          <w:kern w:val="0"/>
          <w:sz w:val="24"/>
          <w:szCs w:val="24"/>
        </w:rPr>
      </w:pPr>
      <w:r>
        <w:rPr>
          <w:rFonts w:eastAsia="仿宋" w:cs="Times New Roman"/>
          <w:bCs/>
          <w:snapToGrid w:val="0"/>
          <w:color w:val="000000" w:themeColor="text1"/>
          <w:spacing w:val="6"/>
          <w:kern w:val="0"/>
          <w:sz w:val="24"/>
          <w:szCs w:val="24"/>
        </w:rPr>
        <w:t>4</w:t>
      </w:r>
      <w:r>
        <w:rPr>
          <w:rFonts w:eastAsia="仿宋" w:cs="Times New Roman"/>
          <w:bCs/>
          <w:snapToGrid w:val="0"/>
          <w:color w:val="000000" w:themeColor="text1"/>
          <w:spacing w:val="6"/>
          <w:kern w:val="0"/>
          <w:sz w:val="24"/>
          <w:szCs w:val="24"/>
        </w:rPr>
        <w:t>）建立应急预案：针对可能的数据安全事件或事故，制定详细的应急预案；定期进行应急演练，提高员工对数据安全事件的应对能力；与相关的法律、技术和业务团队建立紧密的协作机制，确保在数据安全事件发生时能够迅速、有效地应对。</w:t>
      </w:r>
      <w:bookmarkEnd w:id="45"/>
      <w:bookmarkEnd w:id="46"/>
    </w:p>
    <w:sectPr w:rsidR="00EE0247" w:rsidSect="00EE0247">
      <w:pgSz w:w="11906" w:h="16838"/>
      <w:pgMar w:top="998" w:right="998" w:bottom="1451" w:left="1338" w:header="851" w:footer="992" w:gutter="0"/>
      <w:cols w:space="0"/>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0DF7" w:rsidRDefault="00BD0DF7">
      <w:pPr>
        <w:spacing w:line="240" w:lineRule="auto"/>
        <w:ind w:firstLine="640"/>
      </w:pPr>
      <w:r>
        <w:separator/>
      </w:r>
    </w:p>
  </w:endnote>
  <w:endnote w:type="continuationSeparator" w:id="0">
    <w:p w:rsidR="00BD0DF7" w:rsidRDefault="00BD0DF7">
      <w:pPr>
        <w:spacing w:line="240" w:lineRule="auto"/>
        <w:ind w:firstLine="6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0AFF" w:usb1="00007843" w:usb2="00000001" w:usb3="00000000" w:csb0="000001BF" w:csb1="00000000"/>
  </w:font>
  <w:font w:name="方正仿宋_GBK">
    <w:altName w:val="微软雅黑"/>
    <w:charset w:val="86"/>
    <w:family w:val="auto"/>
    <w:pitch w:val="default"/>
    <w:sig w:usb0="00000000" w:usb1="00000000" w:usb2="00082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方正黑体_GBK">
    <w:altName w:val="微软雅黑"/>
    <w:charset w:val="86"/>
    <w:family w:val="auto"/>
    <w:pitch w:val="default"/>
    <w:sig w:usb0="00000000" w:usb1="00000000" w:usb2="00000000" w:usb3="00000000" w:csb0="00040000" w:csb1="00000000"/>
  </w:font>
  <w:font w:name="等线 Light">
    <w:altName w:val="Arial Unicode MS"/>
    <w:charset w:val="86"/>
    <w:family w:val="auto"/>
    <w:pitch w:val="default"/>
    <w:sig w:usb0="00000000" w:usb1="38CF7CFA" w:usb2="00000016" w:usb3="00000000" w:csb0="0004000F" w:csb1="00000000"/>
  </w:font>
  <w:font w:name="Arial">
    <w:panose1 w:val="020B0604020202020204"/>
    <w:charset w:val="00"/>
    <w:family w:val="swiss"/>
    <w:pitch w:val="variable"/>
    <w:sig w:usb0="E0000AFF" w:usb1="00007843" w:usb2="00000001" w:usb3="00000000" w:csb0="000001BF" w:csb1="00000000"/>
  </w:font>
  <w:font w:name="Calibri">
    <w:panose1 w:val="020F0502020204030204"/>
    <w:charset w:val="00"/>
    <w:family w:val="swiss"/>
    <w:pitch w:val="variable"/>
    <w:sig w:usb0="A00002EF" w:usb1="4000207B" w:usb2="00000000" w:usb3="00000000" w:csb0="0000009F" w:csb1="00000000"/>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auto"/>
    <w:pitch w:val="default"/>
    <w:sig w:usb0="00000000" w:usb1="00000000" w:usb2="00082016" w:usb3="00000000" w:csb0="00040001" w:csb1="00000000"/>
  </w:font>
  <w:font w:name="Calibri Light">
    <w:charset w:val="00"/>
    <w:family w:val="swiss"/>
    <w:pitch w:val="default"/>
    <w:sig w:usb0="E4002EFF" w:usb1="C200247B" w:usb2="00000009" w:usb3="00000000" w:csb0="200001FF" w:csb1="00000000"/>
  </w:font>
  <w:font w:name="Arial Unicode MS">
    <w:panose1 w:val="020B0604020202020204"/>
    <w:charset w:val="86"/>
    <w:family w:val="swiss"/>
    <w:pitch w:val="variable"/>
    <w:sig w:usb0="F7FFAFFF" w:usb1="E9DFFFFF" w:usb2="0000003F" w:usb3="00000000" w:csb0="003F01FF" w:csb1="00000000"/>
  </w:font>
  <w:font w:name="等线">
    <w:altName w:val="宋体"/>
    <w:panose1 w:val="00000000000000000000"/>
    <w:charset w:val="86"/>
    <w:family w:val="roman"/>
    <w:notTrueType/>
    <w:pitch w:val="default"/>
    <w:sig w:usb0="00000000" w:usb1="00000000" w:usb2="00000000" w:usb3="00000000" w:csb0="00000000"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0247" w:rsidRDefault="00EE0247">
    <w:pPr>
      <w:pStyle w:val="a9"/>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af"/>
      </w:rPr>
      <w:id w:val="1330793077"/>
    </w:sdtPr>
    <w:sdtContent>
      <w:p w:rsidR="00EE0247" w:rsidRDefault="006E5BF4">
        <w:pPr>
          <w:pStyle w:val="a9"/>
          <w:framePr w:wrap="auto" w:vAnchor="text" w:hAnchor="margin" w:xAlign="center" w:y="1"/>
          <w:ind w:firstLine="360"/>
          <w:rPr>
            <w:rStyle w:val="af"/>
          </w:rPr>
        </w:pPr>
        <w:r>
          <w:rPr>
            <w:rStyle w:val="af"/>
          </w:rPr>
          <w:fldChar w:fldCharType="begin"/>
        </w:r>
        <w:r w:rsidR="007240D0">
          <w:rPr>
            <w:rStyle w:val="af"/>
          </w:rPr>
          <w:instrText xml:space="preserve"> PAGE </w:instrText>
        </w:r>
        <w:r>
          <w:rPr>
            <w:rStyle w:val="af"/>
          </w:rPr>
          <w:fldChar w:fldCharType="separate"/>
        </w:r>
        <w:r w:rsidR="007240D0">
          <w:rPr>
            <w:rStyle w:val="af"/>
          </w:rPr>
          <w:t>1</w:t>
        </w:r>
        <w:r>
          <w:rPr>
            <w:rStyle w:val="af"/>
          </w:rPr>
          <w:fldChar w:fldCharType="end"/>
        </w:r>
      </w:p>
    </w:sdtContent>
  </w:sdt>
  <w:p w:rsidR="00EE0247" w:rsidRDefault="00EE0247">
    <w:pPr>
      <w:pStyle w:val="a9"/>
      <w:ind w:firstLine="36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0247" w:rsidRDefault="00EE0247">
    <w:pPr>
      <w:pStyle w:val="a9"/>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af"/>
      </w:rPr>
      <w:id w:val="673328606"/>
    </w:sdtPr>
    <w:sdtContent>
      <w:p w:rsidR="00EE0247" w:rsidRDefault="006E5BF4">
        <w:pPr>
          <w:pStyle w:val="a9"/>
          <w:framePr w:wrap="auto" w:vAnchor="text" w:hAnchor="margin" w:xAlign="center" w:y="1"/>
          <w:ind w:firstLine="360"/>
          <w:rPr>
            <w:rStyle w:val="af"/>
          </w:rPr>
        </w:pPr>
        <w:r>
          <w:rPr>
            <w:rStyle w:val="af"/>
          </w:rPr>
          <w:fldChar w:fldCharType="begin"/>
        </w:r>
        <w:r w:rsidR="007240D0">
          <w:rPr>
            <w:rStyle w:val="af"/>
          </w:rPr>
          <w:instrText xml:space="preserve"> PAGE </w:instrText>
        </w:r>
        <w:r>
          <w:rPr>
            <w:rStyle w:val="af"/>
          </w:rPr>
          <w:fldChar w:fldCharType="end"/>
        </w:r>
      </w:p>
    </w:sdtContent>
  </w:sdt>
  <w:sdt>
    <w:sdtPr>
      <w:rPr>
        <w:rStyle w:val="af"/>
      </w:rPr>
      <w:id w:val="470790979"/>
    </w:sdtPr>
    <w:sdtContent>
      <w:p w:rsidR="00EE0247" w:rsidRDefault="006E5BF4">
        <w:pPr>
          <w:pStyle w:val="a9"/>
          <w:framePr w:wrap="auto" w:vAnchor="text" w:hAnchor="margin" w:xAlign="right" w:y="1"/>
          <w:ind w:firstLine="360"/>
          <w:rPr>
            <w:rStyle w:val="af"/>
          </w:rPr>
        </w:pPr>
        <w:r>
          <w:rPr>
            <w:rStyle w:val="af"/>
          </w:rPr>
          <w:fldChar w:fldCharType="begin"/>
        </w:r>
        <w:r w:rsidR="007240D0">
          <w:rPr>
            <w:rStyle w:val="af"/>
          </w:rPr>
          <w:instrText xml:space="preserve"> PAGE </w:instrText>
        </w:r>
        <w:r>
          <w:rPr>
            <w:rStyle w:val="af"/>
          </w:rPr>
          <w:fldChar w:fldCharType="end"/>
        </w:r>
      </w:p>
    </w:sdtContent>
  </w:sdt>
  <w:sdt>
    <w:sdtPr>
      <w:rPr>
        <w:rStyle w:val="af"/>
      </w:rPr>
      <w:id w:val="188039930"/>
    </w:sdtPr>
    <w:sdtContent>
      <w:p w:rsidR="00EE0247" w:rsidRDefault="006E5BF4">
        <w:pPr>
          <w:pStyle w:val="a9"/>
          <w:framePr w:wrap="auto" w:vAnchor="text" w:hAnchor="margin" w:xAlign="center" w:y="1"/>
          <w:ind w:right="360" w:firstLine="360"/>
          <w:rPr>
            <w:rStyle w:val="af"/>
          </w:rPr>
        </w:pPr>
        <w:r>
          <w:rPr>
            <w:rStyle w:val="af"/>
          </w:rPr>
          <w:fldChar w:fldCharType="begin"/>
        </w:r>
        <w:r w:rsidR="007240D0">
          <w:rPr>
            <w:rStyle w:val="af"/>
          </w:rPr>
          <w:instrText xml:space="preserve"> PAGE </w:instrText>
        </w:r>
        <w:r>
          <w:rPr>
            <w:rStyle w:val="af"/>
          </w:rPr>
          <w:fldChar w:fldCharType="end"/>
        </w:r>
      </w:p>
    </w:sdtContent>
  </w:sdt>
  <w:sdt>
    <w:sdtPr>
      <w:rPr>
        <w:rStyle w:val="af"/>
      </w:rPr>
      <w:id w:val="1047030819"/>
    </w:sdtPr>
    <w:sdtContent>
      <w:p w:rsidR="00EE0247" w:rsidRDefault="006E5BF4">
        <w:pPr>
          <w:pStyle w:val="a9"/>
          <w:framePr w:wrap="auto" w:vAnchor="text" w:hAnchor="margin" w:xAlign="center" w:y="1"/>
          <w:ind w:firstLine="360"/>
          <w:rPr>
            <w:rStyle w:val="af"/>
          </w:rPr>
        </w:pPr>
        <w:r>
          <w:rPr>
            <w:rStyle w:val="af"/>
          </w:rPr>
          <w:fldChar w:fldCharType="begin"/>
        </w:r>
        <w:r w:rsidR="007240D0">
          <w:rPr>
            <w:rStyle w:val="af"/>
          </w:rPr>
          <w:instrText xml:space="preserve"> PAGE </w:instrText>
        </w:r>
        <w:r>
          <w:rPr>
            <w:rStyle w:val="af"/>
          </w:rPr>
          <w:fldChar w:fldCharType="end"/>
        </w:r>
      </w:p>
    </w:sdtContent>
  </w:sdt>
  <w:p w:rsidR="00EE0247" w:rsidRDefault="00EE0247">
    <w:pPr>
      <w:pStyle w:val="a9"/>
      <w:ind w:right="-58" w:firstLineChars="0" w:firstLine="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0247" w:rsidRDefault="00EE0247">
    <w:pPr>
      <w:pStyle w:val="a9"/>
      <w:ind w:firstLine="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0247" w:rsidRDefault="00EE0247">
    <w:pPr>
      <w:pStyle w:val="a9"/>
      <w:ind w:firstLine="36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af"/>
      </w:rPr>
      <w:id w:val="1661424410"/>
    </w:sdtPr>
    <w:sdtContent>
      <w:p w:rsidR="00EE0247" w:rsidRDefault="006E5BF4">
        <w:pPr>
          <w:pStyle w:val="a9"/>
          <w:framePr w:wrap="auto" w:vAnchor="text" w:hAnchor="margin" w:xAlign="center" w:y="1"/>
          <w:ind w:firstLine="360"/>
          <w:rPr>
            <w:rStyle w:val="af"/>
          </w:rPr>
        </w:pPr>
        <w:r>
          <w:rPr>
            <w:rStyle w:val="af"/>
          </w:rPr>
          <w:fldChar w:fldCharType="begin"/>
        </w:r>
        <w:r w:rsidR="007240D0">
          <w:rPr>
            <w:rStyle w:val="af"/>
          </w:rPr>
          <w:instrText xml:space="preserve"> PAGE </w:instrText>
        </w:r>
        <w:r>
          <w:rPr>
            <w:rStyle w:val="af"/>
          </w:rPr>
          <w:fldChar w:fldCharType="separate"/>
        </w:r>
        <w:r w:rsidR="00D241E6">
          <w:rPr>
            <w:rStyle w:val="af"/>
            <w:noProof/>
          </w:rPr>
          <w:t>25</w:t>
        </w:r>
        <w:r>
          <w:rPr>
            <w:rStyle w:val="af"/>
          </w:rPr>
          <w:fldChar w:fldCharType="end"/>
        </w:r>
      </w:p>
    </w:sdtContent>
  </w:sdt>
  <w:p w:rsidR="00EE0247" w:rsidRDefault="00EE0247">
    <w:pPr>
      <w:pStyle w:val="a9"/>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0DF7" w:rsidRDefault="00BD0DF7">
      <w:pPr>
        <w:ind w:firstLine="640"/>
      </w:pPr>
      <w:r>
        <w:separator/>
      </w:r>
    </w:p>
  </w:footnote>
  <w:footnote w:type="continuationSeparator" w:id="0">
    <w:p w:rsidR="00BD0DF7" w:rsidRDefault="00BD0DF7">
      <w:pPr>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0247" w:rsidRDefault="00EE0247">
    <w:pPr>
      <w:pStyle w:val="aa"/>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0247" w:rsidRDefault="00EE0247">
    <w:pPr>
      <w:pStyle w:val="aa"/>
      <w:ind w:firstLineChars="0" w:firstLine="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0247" w:rsidRDefault="00EE0247">
    <w:pPr>
      <w:pStyle w:val="aa"/>
      <w:ind w:firstLine="36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af"/>
      </w:rPr>
      <w:id w:val="-1"/>
    </w:sdtPr>
    <w:sdtContent>
      <w:p w:rsidR="00EE0247" w:rsidRDefault="006E5BF4">
        <w:pPr>
          <w:pStyle w:val="aa"/>
          <w:framePr w:wrap="auto" w:vAnchor="text" w:hAnchor="margin" w:xAlign="center" w:y="1"/>
          <w:ind w:firstLine="360"/>
          <w:rPr>
            <w:rStyle w:val="af"/>
          </w:rPr>
        </w:pPr>
        <w:r>
          <w:rPr>
            <w:rStyle w:val="af"/>
          </w:rPr>
          <w:fldChar w:fldCharType="begin"/>
        </w:r>
        <w:r w:rsidR="007240D0">
          <w:rPr>
            <w:rStyle w:val="af"/>
          </w:rPr>
          <w:instrText xml:space="preserve"> PAGE </w:instrText>
        </w:r>
        <w:r>
          <w:rPr>
            <w:rStyle w:val="af"/>
          </w:rPr>
          <w:fldChar w:fldCharType="end"/>
        </w:r>
      </w:p>
    </w:sdtContent>
  </w:sdt>
  <w:p w:rsidR="00EE0247" w:rsidRDefault="00EE0247">
    <w:pPr>
      <w:pStyle w:val="aa"/>
      <w:ind w:firstLine="36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0247" w:rsidRDefault="00EE0247">
    <w:pPr>
      <w:pStyle w:val="aa"/>
      <w:ind w:firstLine="360"/>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0247" w:rsidRDefault="00EE0247">
    <w:pPr>
      <w:ind w:firstLineChars="0" w:firstLine="0"/>
      <w:jc w:val="center"/>
      <w:rPr>
        <w:b/>
        <w:bCs/>
        <w:sz w:val="21"/>
        <w:szCs w:val="16"/>
      </w:rP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0247" w:rsidRDefault="00EE0247">
    <w:pPr>
      <w:ind w:firstLineChars="0" w:firstLine="0"/>
      <w:jc w:val="center"/>
      <w:rPr>
        <w:b/>
        <w:bCs/>
        <w:sz w:val="21"/>
        <w:szCs w:val="16"/>
      </w:rP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0247" w:rsidRDefault="00EE0247">
    <w:pPr>
      <w:pStyle w:val="aa"/>
      <w:ind w:firstLine="360"/>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0247" w:rsidRDefault="007240D0">
    <w:pPr>
      <w:pStyle w:val="aa"/>
      <w:tabs>
        <w:tab w:val="clear" w:pos="4153"/>
      </w:tabs>
      <w:ind w:firstLine="360"/>
      <w:jc w:val="right"/>
    </w:pPr>
    <w:r>
      <w:rPr>
        <w:rFonts w:hint="eastAsia"/>
      </w:rPr>
      <w:tab/>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0247" w:rsidRDefault="00EE0247">
    <w:pPr>
      <w:pStyle w:val="aa"/>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6FC3906"/>
    <w:multiLevelType w:val="singleLevel"/>
    <w:tmpl w:val="E6FC3906"/>
    <w:lvl w:ilvl="0">
      <w:start w:val="1"/>
      <w:numFmt w:val="decimal"/>
      <w:suff w:val="nothing"/>
      <w:lvlText w:val="%1）"/>
      <w:lvlJc w:val="left"/>
    </w:lvl>
  </w:abstractNum>
  <w:abstractNum w:abstractNumId="1">
    <w:nsid w:val="00000001"/>
    <w:multiLevelType w:val="singleLevel"/>
    <w:tmpl w:val="00000001"/>
    <w:lvl w:ilvl="0">
      <w:start w:val="1"/>
      <w:numFmt w:val="decimal"/>
      <w:pStyle w:val="a"/>
      <w:lvlText w:val="表%1"/>
      <w:lvlJc w:val="left"/>
      <w:pPr>
        <w:tabs>
          <w:tab w:val="left" w:pos="420"/>
        </w:tabs>
        <w:ind w:left="0" w:firstLine="0"/>
      </w:pPr>
      <w:rPr>
        <w:rFonts w:ascii="Times New Roman" w:eastAsia="方正仿宋_GBK" w:hAnsi="Times New Roman" w:hint="default"/>
        <w:b/>
        <w:bCs/>
        <w:sz w:val="32"/>
        <w:szCs w:val="32"/>
      </w:rPr>
    </w:lvl>
  </w:abstractNum>
  <w:abstractNum w:abstractNumId="2">
    <w:nsid w:val="00000003"/>
    <w:multiLevelType w:val="multilevel"/>
    <w:tmpl w:val="0000000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360" w:firstLine="0"/>
      </w:pPr>
      <w:rPr>
        <w:rFonts w:ascii="黑体" w:eastAsia="黑体" w:hAnsi="Times New Roman" w:cs="Times New Roman" w:hint="eastAsia"/>
        <w:b w:val="0"/>
        <w:bCs w:val="0"/>
        <w:i w:val="0"/>
        <w:iCs w:val="0"/>
        <w:caps w:val="0"/>
        <w:spacing w:val="0"/>
        <w:kern w:val="0"/>
        <w:position w:val="0"/>
        <w:sz w:val="21"/>
        <w:szCs w:val="21"/>
        <w:u w:val="none"/>
      </w:rPr>
    </w:lvl>
    <w:lvl w:ilvl="2">
      <w:start w:val="1"/>
      <w:numFmt w:val="decimal"/>
      <w:pStyle w:val="a0"/>
      <w:suff w:val="nothing"/>
      <w:lvlText w:val="%1.%2.%3　"/>
      <w:lvlJc w:val="left"/>
      <w:pPr>
        <w:ind w:left="3828" w:firstLine="0"/>
      </w:pPr>
      <w:rPr>
        <w:rFonts w:ascii="黑体" w:eastAsia="黑体" w:hAnsi="Times New Roman" w:hint="eastAsia"/>
        <w:b w:val="0"/>
        <w:i w:val="0"/>
        <w:sz w:val="21"/>
        <w:lang w:eastAsia="zh-TW"/>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
    <w:nsid w:val="00000004"/>
    <w:multiLevelType w:val="multilevel"/>
    <w:tmpl w:val="00000004"/>
    <w:lvl w:ilvl="0">
      <w:start w:val="1"/>
      <w:numFmt w:val="chineseCounting"/>
      <w:suff w:val="space"/>
      <w:lvlText w:val="%1"/>
      <w:lvlJc w:val="left"/>
      <w:pPr>
        <w:tabs>
          <w:tab w:val="left" w:pos="0"/>
        </w:tabs>
        <w:ind w:left="425" w:hanging="425"/>
      </w:pPr>
      <w:rPr>
        <w:rFonts w:ascii="宋体" w:eastAsia="宋体" w:hAnsi="宋体" w:cs="宋体" w:hint="eastAsia"/>
      </w:rPr>
    </w:lvl>
    <w:lvl w:ilvl="1">
      <w:start w:val="1"/>
      <w:numFmt w:val="decimal"/>
      <w:isLgl/>
      <w:suff w:val="space"/>
      <w:lvlText w:val="%1.%2"/>
      <w:lvlJc w:val="left"/>
      <w:pPr>
        <w:tabs>
          <w:tab w:val="left" w:pos="0"/>
        </w:tabs>
        <w:ind w:left="567" w:hanging="567"/>
      </w:pPr>
      <w:rPr>
        <w:rFonts w:ascii="宋体" w:eastAsia="宋体" w:hAnsi="宋体" w:cs="宋体" w:hint="eastAsia"/>
      </w:rPr>
    </w:lvl>
    <w:lvl w:ilvl="2">
      <w:start w:val="1"/>
      <w:numFmt w:val="decimal"/>
      <w:pStyle w:val="3"/>
      <w:isLgl/>
      <w:suff w:val="space"/>
      <w:lvlText w:val="%1.%2.%3"/>
      <w:lvlJc w:val="left"/>
      <w:pPr>
        <w:tabs>
          <w:tab w:val="left" w:pos="420"/>
        </w:tabs>
        <w:ind w:left="709" w:hanging="709"/>
      </w:pPr>
      <w:rPr>
        <w:rFonts w:ascii="宋体" w:eastAsia="宋体" w:hAnsi="宋体" w:cs="宋体" w:hint="eastAsia"/>
      </w:rPr>
    </w:lvl>
    <w:lvl w:ilvl="3">
      <w:start w:val="1"/>
      <w:numFmt w:val="decimal"/>
      <w:lvlText w:val="%1.%2.%3.%4."/>
      <w:lvlJc w:val="left"/>
      <w:pPr>
        <w:ind w:left="850" w:hanging="850"/>
      </w:pPr>
      <w:rPr>
        <w:rFonts w:hint="eastAsia"/>
      </w:rPr>
    </w:lvl>
    <w:lvl w:ilvl="4">
      <w:start w:val="1"/>
      <w:numFmt w:val="decimal"/>
      <w:lvlText w:val="%1.%2.%3.%4.%5."/>
      <w:lvlJc w:val="left"/>
      <w:pPr>
        <w:ind w:left="991" w:hanging="991"/>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5" w:hanging="1275"/>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8" w:hanging="1558"/>
      </w:pPr>
      <w:rPr>
        <w:rFonts w:hint="eastAsia"/>
      </w:rPr>
    </w:lvl>
  </w:abstractNum>
  <w:abstractNum w:abstractNumId="4">
    <w:nsid w:val="00000005"/>
    <w:multiLevelType w:val="singleLevel"/>
    <w:tmpl w:val="00000005"/>
    <w:lvl w:ilvl="0">
      <w:start w:val="1"/>
      <w:numFmt w:val="decimal"/>
      <w:pStyle w:val="a1"/>
      <w:lvlText w:val="图%1"/>
      <w:lvlJc w:val="left"/>
      <w:pPr>
        <w:tabs>
          <w:tab w:val="left" w:pos="420"/>
        </w:tabs>
        <w:ind w:left="425" w:hanging="425"/>
      </w:pPr>
      <w:rPr>
        <w:rFonts w:eastAsia="方正仿宋_GBK" w:hint="default"/>
        <w:b/>
        <w:sz w:val="32"/>
      </w:rPr>
    </w:lvl>
  </w:abstractNum>
  <w:abstractNum w:abstractNumId="5">
    <w:nsid w:val="00000006"/>
    <w:multiLevelType w:val="singleLevel"/>
    <w:tmpl w:val="00000006"/>
    <w:lvl w:ilvl="0">
      <w:start w:val="1"/>
      <w:numFmt w:val="chineseCounting"/>
      <w:suff w:val="space"/>
      <w:lvlText w:val="第%1章"/>
      <w:lvlJc w:val="left"/>
      <w:rPr>
        <w:rFonts w:hint="eastAsia"/>
      </w:rPr>
    </w:lvl>
  </w:abstractNum>
  <w:abstractNum w:abstractNumId="6">
    <w:nsid w:val="54CB2A2C"/>
    <w:multiLevelType w:val="multilevel"/>
    <w:tmpl w:val="54CB2A2C"/>
    <w:lvl w:ilvl="0">
      <w:start w:val="1"/>
      <w:numFmt w:val="chineseCounting"/>
      <w:lvlText w:val="%1、"/>
      <w:lvlJc w:val="left"/>
      <w:pPr>
        <w:ind w:left="432" w:hanging="432"/>
      </w:pPr>
      <w:rPr>
        <w:rFonts w:ascii="Times New Roman" w:eastAsia="方正黑体_GBK" w:hAnsi="Times New Roman" w:hint="eastAsia"/>
        <w:b/>
        <w:bCs/>
        <w:sz w:val="32"/>
        <w:szCs w:val="32"/>
      </w:rPr>
    </w:lvl>
    <w:lvl w:ilvl="1">
      <w:start w:val="1"/>
      <w:numFmt w:val="decimal"/>
      <w:lvlText w:val="%2"/>
      <w:lvlJc w:val="left"/>
      <w:pPr>
        <w:ind w:left="575" w:hanging="575"/>
      </w:pPr>
      <w:rPr>
        <w:rFonts w:ascii="宋体" w:eastAsia="宋体" w:hAnsi="宋体" w:cs="宋体" w:hint="eastAsia"/>
        <w:b/>
      </w:rPr>
    </w:lvl>
    <w:lvl w:ilvl="2">
      <w:start w:val="1"/>
      <w:numFmt w:val="decimal"/>
      <w:lvlText w:val="%1.%2.%3"/>
      <w:lvlJc w:val="left"/>
      <w:pPr>
        <w:ind w:left="720" w:hanging="720"/>
      </w:pPr>
      <w:rPr>
        <w:rFonts w:ascii="Times New Roman" w:eastAsia="宋体" w:hAnsi="Times New Roman" w:cs="Times New Roman" w:hint="eastAsia"/>
        <w:b/>
      </w:rPr>
    </w:lvl>
    <w:lvl w:ilvl="3">
      <w:start w:val="1"/>
      <w:numFmt w:val="decimal"/>
      <w:pStyle w:val="4"/>
      <w:lvlText w:val="%1.%2.%3.%4"/>
      <w:lvlJc w:val="left"/>
      <w:pPr>
        <w:ind w:left="864" w:hanging="864"/>
      </w:pPr>
      <w:rPr>
        <w:rFonts w:ascii="Times New Roman" w:eastAsia="宋体" w:hAnsi="Times New Roman" w:cs="Times New Roman" w:hint="eastAsia"/>
      </w:rPr>
    </w:lvl>
    <w:lvl w:ilvl="4">
      <w:start w:val="1"/>
      <w:numFmt w:val="decimal"/>
      <w:pStyle w:val="5"/>
      <w:lvlText w:val="%1.%2.%3.%4.%5."/>
      <w:lvlJc w:val="left"/>
      <w:pPr>
        <w:ind w:left="1008" w:hanging="1008"/>
      </w:pPr>
      <w:rPr>
        <w:rFonts w:hint="eastAsia"/>
      </w:rPr>
    </w:lvl>
    <w:lvl w:ilvl="5">
      <w:start w:val="1"/>
      <w:numFmt w:val="decimal"/>
      <w:pStyle w:val="6"/>
      <w:lvlText w:val="%1.%2.%3.%4.%5.%6."/>
      <w:lvlJc w:val="left"/>
      <w:pPr>
        <w:ind w:left="1151" w:hanging="1151"/>
      </w:pPr>
      <w:rPr>
        <w:rFonts w:hint="eastAsia"/>
      </w:rPr>
    </w:lvl>
    <w:lvl w:ilvl="6">
      <w:start w:val="1"/>
      <w:numFmt w:val="decimal"/>
      <w:pStyle w:val="7"/>
      <w:lvlText w:val="%1.%2.%3.%4.%5.%6.%7."/>
      <w:lvlJc w:val="left"/>
      <w:pPr>
        <w:ind w:left="1296" w:hanging="1296"/>
      </w:pPr>
      <w:rPr>
        <w:rFonts w:hint="eastAsia"/>
      </w:rPr>
    </w:lvl>
    <w:lvl w:ilvl="7">
      <w:start w:val="1"/>
      <w:numFmt w:val="decimal"/>
      <w:pStyle w:val="8"/>
      <w:lvlText w:val="%1.%2.%3.%4.%5.%6.%7.%8."/>
      <w:lvlJc w:val="left"/>
      <w:pPr>
        <w:ind w:left="1440" w:hanging="1440"/>
      </w:pPr>
      <w:rPr>
        <w:rFonts w:hint="eastAsia"/>
      </w:rPr>
    </w:lvl>
    <w:lvl w:ilvl="8">
      <w:start w:val="1"/>
      <w:numFmt w:val="decimal"/>
      <w:pStyle w:val="9"/>
      <w:lvlText w:val="%1.%2.%3.%4.%5.%6.%7.%8.%9."/>
      <w:lvlJc w:val="left"/>
      <w:pPr>
        <w:ind w:left="1583" w:hanging="1583"/>
      </w:pPr>
      <w:rPr>
        <w:rFonts w:hint="eastAsia"/>
      </w:rPr>
    </w:lvl>
  </w:abstractNum>
  <w:num w:numId="1">
    <w:abstractNumId w:val="3"/>
  </w:num>
  <w:num w:numId="2">
    <w:abstractNumId w:val="6"/>
  </w:num>
  <w:num w:numId="3">
    <w:abstractNumId w:val="1"/>
  </w:num>
  <w:num w:numId="4">
    <w:abstractNumId w:val="4"/>
  </w:num>
  <w:num w:numId="5">
    <w:abstractNumId w:val="2"/>
  </w:num>
  <w:num w:numId="6">
    <w:abstractNumId w:val="5"/>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1"/>
  <w:embedSystemFonts/>
  <w:bordersDoNotSurroundHeader/>
  <w:bordersDoNotSurroundFooter/>
  <w:proofState w:spelling="clean" w:grammar="clean"/>
  <w:defaultTabStop w:val="420"/>
  <w:drawingGridHorizontalSpacing w:val="160"/>
  <w:drawingGridVerticalSpacing w:val="218"/>
  <w:noPunctuationKerning/>
  <w:characterSpacingControl w:val="compressPunctuation"/>
  <w:hdrShapeDefaults>
    <o:shapedefaults v:ext="edit" spidmax="9218"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ZmM3OWE5ZmFlNGRlOWVlYjI4ZGZkY2Q2YWIzMGYyODQifQ=="/>
  </w:docVars>
  <w:rsids>
    <w:rsidRoot w:val="007A75F3"/>
    <w:rsid w:val="BDDE7B63"/>
    <w:rsid w:val="BDE4D766"/>
    <w:rsid w:val="BE3D2206"/>
    <w:rsid w:val="BE576147"/>
    <w:rsid w:val="BED791F9"/>
    <w:rsid w:val="BEE7F7E8"/>
    <w:rsid w:val="BF7E1DC9"/>
    <w:rsid w:val="BFD7F22A"/>
    <w:rsid w:val="BFDFF389"/>
    <w:rsid w:val="CB87F191"/>
    <w:rsid w:val="CBFFBB41"/>
    <w:rsid w:val="CE77F314"/>
    <w:rsid w:val="D7FFE223"/>
    <w:rsid w:val="D9EB11C9"/>
    <w:rsid w:val="DABA27D7"/>
    <w:rsid w:val="DAEFABA3"/>
    <w:rsid w:val="DAFFD851"/>
    <w:rsid w:val="DB2F5708"/>
    <w:rsid w:val="DBBDD14C"/>
    <w:rsid w:val="DDDFA294"/>
    <w:rsid w:val="DDF5836D"/>
    <w:rsid w:val="DEDF8E7D"/>
    <w:rsid w:val="DFEBAE18"/>
    <w:rsid w:val="E37FCBB1"/>
    <w:rsid w:val="E6CEC56A"/>
    <w:rsid w:val="E6FF1AAB"/>
    <w:rsid w:val="E7EFA140"/>
    <w:rsid w:val="E7FFBF33"/>
    <w:rsid w:val="EF5F91D3"/>
    <w:rsid w:val="EF773DF4"/>
    <w:rsid w:val="EFBD7E16"/>
    <w:rsid w:val="EFBE82A8"/>
    <w:rsid w:val="EFDA5142"/>
    <w:rsid w:val="F3F76E12"/>
    <w:rsid w:val="F6DE3214"/>
    <w:rsid w:val="F6F759BA"/>
    <w:rsid w:val="F7DFA8EF"/>
    <w:rsid w:val="F8FB6DFC"/>
    <w:rsid w:val="FBDE4AF7"/>
    <w:rsid w:val="FDCB4C0B"/>
    <w:rsid w:val="FDFBA06F"/>
    <w:rsid w:val="FDFD0E63"/>
    <w:rsid w:val="FEEDB617"/>
    <w:rsid w:val="FEFA3571"/>
    <w:rsid w:val="FEFB6B84"/>
    <w:rsid w:val="FEFFEB40"/>
    <w:rsid w:val="FF7B42A9"/>
    <w:rsid w:val="FF7FB4D8"/>
    <w:rsid w:val="FFBF2516"/>
    <w:rsid w:val="FFBF2AB1"/>
    <w:rsid w:val="FFD78CCD"/>
    <w:rsid w:val="FFEFEC29"/>
    <w:rsid w:val="FFF71D8F"/>
    <w:rsid w:val="FFFB39BD"/>
    <w:rsid w:val="FFFDA422"/>
    <w:rsid w:val="000F6981"/>
    <w:rsid w:val="00126E59"/>
    <w:rsid w:val="00325DBE"/>
    <w:rsid w:val="00387BA9"/>
    <w:rsid w:val="00407522"/>
    <w:rsid w:val="00410068"/>
    <w:rsid w:val="005171BB"/>
    <w:rsid w:val="006E5BF4"/>
    <w:rsid w:val="007112E5"/>
    <w:rsid w:val="007240D0"/>
    <w:rsid w:val="007A04A4"/>
    <w:rsid w:val="007A75F3"/>
    <w:rsid w:val="007D0408"/>
    <w:rsid w:val="00846B09"/>
    <w:rsid w:val="008A689A"/>
    <w:rsid w:val="00A335A5"/>
    <w:rsid w:val="00B352C7"/>
    <w:rsid w:val="00B445D8"/>
    <w:rsid w:val="00BD0DF7"/>
    <w:rsid w:val="00BE285C"/>
    <w:rsid w:val="00BF7E58"/>
    <w:rsid w:val="00C21C18"/>
    <w:rsid w:val="00C3082E"/>
    <w:rsid w:val="00C643D5"/>
    <w:rsid w:val="00C77777"/>
    <w:rsid w:val="00C94DCA"/>
    <w:rsid w:val="00CD7FFA"/>
    <w:rsid w:val="00D241E6"/>
    <w:rsid w:val="00D61DDB"/>
    <w:rsid w:val="00D7128D"/>
    <w:rsid w:val="00DA3D1B"/>
    <w:rsid w:val="00E8641E"/>
    <w:rsid w:val="00EE0247"/>
    <w:rsid w:val="00F212D5"/>
    <w:rsid w:val="00FB5450"/>
    <w:rsid w:val="00FE122C"/>
    <w:rsid w:val="00FE2958"/>
    <w:rsid w:val="015406A4"/>
    <w:rsid w:val="0241491C"/>
    <w:rsid w:val="026779BA"/>
    <w:rsid w:val="02922F6E"/>
    <w:rsid w:val="02AC7103"/>
    <w:rsid w:val="02AD7AC3"/>
    <w:rsid w:val="02B961CD"/>
    <w:rsid w:val="02D45050"/>
    <w:rsid w:val="02F62EDE"/>
    <w:rsid w:val="030F52BB"/>
    <w:rsid w:val="033108D6"/>
    <w:rsid w:val="036068E4"/>
    <w:rsid w:val="039E11BA"/>
    <w:rsid w:val="03E3412E"/>
    <w:rsid w:val="03E45C6D"/>
    <w:rsid w:val="04021749"/>
    <w:rsid w:val="04DF6C8A"/>
    <w:rsid w:val="056B71E9"/>
    <w:rsid w:val="060043AE"/>
    <w:rsid w:val="066D11AA"/>
    <w:rsid w:val="067816BC"/>
    <w:rsid w:val="068E3768"/>
    <w:rsid w:val="06B37672"/>
    <w:rsid w:val="073364FA"/>
    <w:rsid w:val="07A11279"/>
    <w:rsid w:val="08316AA1"/>
    <w:rsid w:val="088E3EF3"/>
    <w:rsid w:val="08D535BC"/>
    <w:rsid w:val="094F52D8"/>
    <w:rsid w:val="09840E52"/>
    <w:rsid w:val="09DB16A8"/>
    <w:rsid w:val="0A8F3F52"/>
    <w:rsid w:val="0B877EBE"/>
    <w:rsid w:val="0C770DFE"/>
    <w:rsid w:val="0C880C59"/>
    <w:rsid w:val="0CB101B0"/>
    <w:rsid w:val="0CCF38FF"/>
    <w:rsid w:val="0CE045F1"/>
    <w:rsid w:val="0D1B16BD"/>
    <w:rsid w:val="0D283592"/>
    <w:rsid w:val="0D8B084E"/>
    <w:rsid w:val="0E2C3DC4"/>
    <w:rsid w:val="0E340CB9"/>
    <w:rsid w:val="0EAA26CD"/>
    <w:rsid w:val="0F010FFC"/>
    <w:rsid w:val="0F900551"/>
    <w:rsid w:val="0FCB1589"/>
    <w:rsid w:val="11ED40C5"/>
    <w:rsid w:val="12543AB7"/>
    <w:rsid w:val="12BB3B36"/>
    <w:rsid w:val="143040B0"/>
    <w:rsid w:val="144135AB"/>
    <w:rsid w:val="14A214B8"/>
    <w:rsid w:val="14AB1989"/>
    <w:rsid w:val="15201D1B"/>
    <w:rsid w:val="154F67B8"/>
    <w:rsid w:val="155B6F0B"/>
    <w:rsid w:val="168129A1"/>
    <w:rsid w:val="16C61609"/>
    <w:rsid w:val="16FC296F"/>
    <w:rsid w:val="171E4694"/>
    <w:rsid w:val="17983B81"/>
    <w:rsid w:val="18075128"/>
    <w:rsid w:val="1821268E"/>
    <w:rsid w:val="192D0BBE"/>
    <w:rsid w:val="1A4C776A"/>
    <w:rsid w:val="1AAB4490"/>
    <w:rsid w:val="1ADB00F7"/>
    <w:rsid w:val="1AFF2141"/>
    <w:rsid w:val="1B4D379A"/>
    <w:rsid w:val="1B8756CA"/>
    <w:rsid w:val="1C60574F"/>
    <w:rsid w:val="1CA76EDA"/>
    <w:rsid w:val="1DBA49EB"/>
    <w:rsid w:val="1E1B42AB"/>
    <w:rsid w:val="1F7A6B27"/>
    <w:rsid w:val="1F7D3283"/>
    <w:rsid w:val="1FEB789D"/>
    <w:rsid w:val="20552E77"/>
    <w:rsid w:val="20F8421E"/>
    <w:rsid w:val="211A411E"/>
    <w:rsid w:val="215533A8"/>
    <w:rsid w:val="22085D6A"/>
    <w:rsid w:val="227C6712"/>
    <w:rsid w:val="232D7D0A"/>
    <w:rsid w:val="23863CED"/>
    <w:rsid w:val="23B87C1E"/>
    <w:rsid w:val="2432352D"/>
    <w:rsid w:val="24455956"/>
    <w:rsid w:val="25920E87"/>
    <w:rsid w:val="25AE753E"/>
    <w:rsid w:val="25B54415"/>
    <w:rsid w:val="26D1527F"/>
    <w:rsid w:val="26F96584"/>
    <w:rsid w:val="27E45486"/>
    <w:rsid w:val="286A22CA"/>
    <w:rsid w:val="288D78CB"/>
    <w:rsid w:val="28BC1F5F"/>
    <w:rsid w:val="294C5091"/>
    <w:rsid w:val="295108F9"/>
    <w:rsid w:val="29DA5A8A"/>
    <w:rsid w:val="29FF490D"/>
    <w:rsid w:val="2A0B4F4C"/>
    <w:rsid w:val="2A3A313B"/>
    <w:rsid w:val="2A5D507B"/>
    <w:rsid w:val="2A5E4402"/>
    <w:rsid w:val="2AD634E7"/>
    <w:rsid w:val="2BB1601F"/>
    <w:rsid w:val="2BF50816"/>
    <w:rsid w:val="2D522E91"/>
    <w:rsid w:val="2DA55B89"/>
    <w:rsid w:val="2DDF3232"/>
    <w:rsid w:val="2E701821"/>
    <w:rsid w:val="2EBFDAE5"/>
    <w:rsid w:val="2EE572FA"/>
    <w:rsid w:val="2F5E419E"/>
    <w:rsid w:val="2F601896"/>
    <w:rsid w:val="2FA71273"/>
    <w:rsid w:val="2FF35785"/>
    <w:rsid w:val="303B24C1"/>
    <w:rsid w:val="30D20571"/>
    <w:rsid w:val="30F009F7"/>
    <w:rsid w:val="30F6750D"/>
    <w:rsid w:val="30F85AFE"/>
    <w:rsid w:val="30FD4EC2"/>
    <w:rsid w:val="320209E2"/>
    <w:rsid w:val="32326DEE"/>
    <w:rsid w:val="32382656"/>
    <w:rsid w:val="32852D31"/>
    <w:rsid w:val="33044C2E"/>
    <w:rsid w:val="3417273F"/>
    <w:rsid w:val="34A35D81"/>
    <w:rsid w:val="35074561"/>
    <w:rsid w:val="356024C6"/>
    <w:rsid w:val="366652B8"/>
    <w:rsid w:val="36742A8F"/>
    <w:rsid w:val="36BB6985"/>
    <w:rsid w:val="37321D6A"/>
    <w:rsid w:val="37BF0CD0"/>
    <w:rsid w:val="37FE0B36"/>
    <w:rsid w:val="3825367C"/>
    <w:rsid w:val="38305B7D"/>
    <w:rsid w:val="3851621F"/>
    <w:rsid w:val="3881462B"/>
    <w:rsid w:val="392B4CC2"/>
    <w:rsid w:val="39455658"/>
    <w:rsid w:val="394750CB"/>
    <w:rsid w:val="394A5BAB"/>
    <w:rsid w:val="3950297B"/>
    <w:rsid w:val="39766A08"/>
    <w:rsid w:val="397B5842"/>
    <w:rsid w:val="39AA6E47"/>
    <w:rsid w:val="39F30EC3"/>
    <w:rsid w:val="3A15327D"/>
    <w:rsid w:val="3A52627F"/>
    <w:rsid w:val="3BDF7FE6"/>
    <w:rsid w:val="3BF21AC7"/>
    <w:rsid w:val="3BFF5DA5"/>
    <w:rsid w:val="3CBF1F49"/>
    <w:rsid w:val="3D3D3216"/>
    <w:rsid w:val="3D6C5F71"/>
    <w:rsid w:val="3D7176E5"/>
    <w:rsid w:val="3DC82821"/>
    <w:rsid w:val="3DFF38A6"/>
    <w:rsid w:val="3E1F291C"/>
    <w:rsid w:val="3E2717D1"/>
    <w:rsid w:val="3E9C56EF"/>
    <w:rsid w:val="3E9E5F37"/>
    <w:rsid w:val="3EBA2645"/>
    <w:rsid w:val="3F1F2B5D"/>
    <w:rsid w:val="3FBE63F8"/>
    <w:rsid w:val="3FC419CD"/>
    <w:rsid w:val="411918A4"/>
    <w:rsid w:val="41923405"/>
    <w:rsid w:val="41CE1354"/>
    <w:rsid w:val="41E2613A"/>
    <w:rsid w:val="41E27FBF"/>
    <w:rsid w:val="420B38E3"/>
    <w:rsid w:val="426A160C"/>
    <w:rsid w:val="42927B60"/>
    <w:rsid w:val="431F0CC7"/>
    <w:rsid w:val="43922C3E"/>
    <w:rsid w:val="44476729"/>
    <w:rsid w:val="447D65EE"/>
    <w:rsid w:val="449622A8"/>
    <w:rsid w:val="44A3304D"/>
    <w:rsid w:val="44DE52DF"/>
    <w:rsid w:val="455530C7"/>
    <w:rsid w:val="45A007E6"/>
    <w:rsid w:val="46D36999"/>
    <w:rsid w:val="46FF79F0"/>
    <w:rsid w:val="47721A05"/>
    <w:rsid w:val="478657BA"/>
    <w:rsid w:val="47E36768"/>
    <w:rsid w:val="48050DD4"/>
    <w:rsid w:val="485D476D"/>
    <w:rsid w:val="48D50569"/>
    <w:rsid w:val="4AA246B9"/>
    <w:rsid w:val="4AA91EEB"/>
    <w:rsid w:val="4AB525B6"/>
    <w:rsid w:val="4B693428"/>
    <w:rsid w:val="4BAD4101"/>
    <w:rsid w:val="4BBA5530"/>
    <w:rsid w:val="4BD96800"/>
    <w:rsid w:val="4BE00100"/>
    <w:rsid w:val="4C681932"/>
    <w:rsid w:val="4C96024D"/>
    <w:rsid w:val="4CD83E45"/>
    <w:rsid w:val="4D0F1E82"/>
    <w:rsid w:val="4D9001A3"/>
    <w:rsid w:val="4DA60964"/>
    <w:rsid w:val="4DD70B1D"/>
    <w:rsid w:val="4DDFCD89"/>
    <w:rsid w:val="4E0937BC"/>
    <w:rsid w:val="4E7B3B9E"/>
    <w:rsid w:val="4E834801"/>
    <w:rsid w:val="4E881E17"/>
    <w:rsid w:val="4EDCCD3C"/>
    <w:rsid w:val="4EFF657E"/>
    <w:rsid w:val="4F0973FC"/>
    <w:rsid w:val="4F1A33B7"/>
    <w:rsid w:val="4F610FE6"/>
    <w:rsid w:val="4F8610E9"/>
    <w:rsid w:val="4F9D0583"/>
    <w:rsid w:val="50595BFA"/>
    <w:rsid w:val="505C17AE"/>
    <w:rsid w:val="50A15DEB"/>
    <w:rsid w:val="51D07D5D"/>
    <w:rsid w:val="52777DAB"/>
    <w:rsid w:val="52B4767F"/>
    <w:rsid w:val="52C55AF5"/>
    <w:rsid w:val="535624E4"/>
    <w:rsid w:val="53E775E0"/>
    <w:rsid w:val="53FF0DCE"/>
    <w:rsid w:val="54240834"/>
    <w:rsid w:val="543E2C5B"/>
    <w:rsid w:val="549F0DC3"/>
    <w:rsid w:val="54C65448"/>
    <w:rsid w:val="54D5369B"/>
    <w:rsid w:val="55990DAE"/>
    <w:rsid w:val="55A27C63"/>
    <w:rsid w:val="55AC6D33"/>
    <w:rsid w:val="55B17EA6"/>
    <w:rsid w:val="567F749E"/>
    <w:rsid w:val="569D042A"/>
    <w:rsid w:val="56D0416C"/>
    <w:rsid w:val="56D57BC4"/>
    <w:rsid w:val="56EF512A"/>
    <w:rsid w:val="57635426"/>
    <w:rsid w:val="58E30CBE"/>
    <w:rsid w:val="592941F7"/>
    <w:rsid w:val="59330767"/>
    <w:rsid w:val="595B0854"/>
    <w:rsid w:val="598853C1"/>
    <w:rsid w:val="59D52B06"/>
    <w:rsid w:val="5A233363"/>
    <w:rsid w:val="5AC97A40"/>
    <w:rsid w:val="5AF70A51"/>
    <w:rsid w:val="5B0373F5"/>
    <w:rsid w:val="5B5B3059"/>
    <w:rsid w:val="5B5C5EAD"/>
    <w:rsid w:val="5BB24978"/>
    <w:rsid w:val="5BB4249E"/>
    <w:rsid w:val="5BE508A9"/>
    <w:rsid w:val="5C2C472A"/>
    <w:rsid w:val="5C521D26"/>
    <w:rsid w:val="5C763BF7"/>
    <w:rsid w:val="5CEA65A2"/>
    <w:rsid w:val="5D017965"/>
    <w:rsid w:val="5DA87473"/>
    <w:rsid w:val="5E073728"/>
    <w:rsid w:val="5E1611EE"/>
    <w:rsid w:val="5E5B3B59"/>
    <w:rsid w:val="5E9B7945"/>
    <w:rsid w:val="5EA22A81"/>
    <w:rsid w:val="5EE27322"/>
    <w:rsid w:val="5F7F2233"/>
    <w:rsid w:val="5F8E3006"/>
    <w:rsid w:val="5FCA6734"/>
    <w:rsid w:val="5FF437B1"/>
    <w:rsid w:val="5FFB79E6"/>
    <w:rsid w:val="5FFFC323"/>
    <w:rsid w:val="602D2580"/>
    <w:rsid w:val="60787F3E"/>
    <w:rsid w:val="60C018E5"/>
    <w:rsid w:val="60C95281"/>
    <w:rsid w:val="610F5757"/>
    <w:rsid w:val="61113EEE"/>
    <w:rsid w:val="61D60F4A"/>
    <w:rsid w:val="62465E1A"/>
    <w:rsid w:val="63306AC8"/>
    <w:rsid w:val="63696264"/>
    <w:rsid w:val="63AE3C76"/>
    <w:rsid w:val="646670BD"/>
    <w:rsid w:val="64A84716"/>
    <w:rsid w:val="65501489"/>
    <w:rsid w:val="655B7506"/>
    <w:rsid w:val="65A215B9"/>
    <w:rsid w:val="65DC0F6F"/>
    <w:rsid w:val="66A355E9"/>
    <w:rsid w:val="66D17929"/>
    <w:rsid w:val="6784366C"/>
    <w:rsid w:val="6861575B"/>
    <w:rsid w:val="695452C0"/>
    <w:rsid w:val="69E2467A"/>
    <w:rsid w:val="6A024D1C"/>
    <w:rsid w:val="6B482C03"/>
    <w:rsid w:val="6B975E4A"/>
    <w:rsid w:val="6CCC0C53"/>
    <w:rsid w:val="6CD3474E"/>
    <w:rsid w:val="6D0D7C60"/>
    <w:rsid w:val="6DEFE473"/>
    <w:rsid w:val="6DF80910"/>
    <w:rsid w:val="6E032E11"/>
    <w:rsid w:val="6E337B9A"/>
    <w:rsid w:val="6E7D1B7C"/>
    <w:rsid w:val="6EBD4F8D"/>
    <w:rsid w:val="6F162CBE"/>
    <w:rsid w:val="6F215C44"/>
    <w:rsid w:val="6F6E2E43"/>
    <w:rsid w:val="6F751769"/>
    <w:rsid w:val="6FCE7B7A"/>
    <w:rsid w:val="6FD1766A"/>
    <w:rsid w:val="6FE25F7F"/>
    <w:rsid w:val="6FFC58A5"/>
    <w:rsid w:val="707352C8"/>
    <w:rsid w:val="71A83F33"/>
    <w:rsid w:val="726B01EF"/>
    <w:rsid w:val="72D975AD"/>
    <w:rsid w:val="72FF629D"/>
    <w:rsid w:val="7318735E"/>
    <w:rsid w:val="734819F2"/>
    <w:rsid w:val="743106D8"/>
    <w:rsid w:val="74375FCC"/>
    <w:rsid w:val="74CB0B2C"/>
    <w:rsid w:val="74DF784A"/>
    <w:rsid w:val="75601BDC"/>
    <w:rsid w:val="76944F4E"/>
    <w:rsid w:val="77399A8A"/>
    <w:rsid w:val="773B361B"/>
    <w:rsid w:val="7758332B"/>
    <w:rsid w:val="77AA4DD8"/>
    <w:rsid w:val="77BF8CBD"/>
    <w:rsid w:val="77CEC075"/>
    <w:rsid w:val="78244A5D"/>
    <w:rsid w:val="78EF25DF"/>
    <w:rsid w:val="78F30652"/>
    <w:rsid w:val="79654980"/>
    <w:rsid w:val="79725A1A"/>
    <w:rsid w:val="7ABC03B8"/>
    <w:rsid w:val="7AEF3908"/>
    <w:rsid w:val="7B1F5E6F"/>
    <w:rsid w:val="7B664809"/>
    <w:rsid w:val="7B851309"/>
    <w:rsid w:val="7C4D0405"/>
    <w:rsid w:val="7C6B0305"/>
    <w:rsid w:val="7D1FC9B7"/>
    <w:rsid w:val="7D3FFC61"/>
    <w:rsid w:val="7D807FDA"/>
    <w:rsid w:val="7D821FA4"/>
    <w:rsid w:val="7DB55ED6"/>
    <w:rsid w:val="7DE40569"/>
    <w:rsid w:val="7E0D5429"/>
    <w:rsid w:val="7E7538B7"/>
    <w:rsid w:val="7EF5E5D5"/>
    <w:rsid w:val="7EFBC817"/>
    <w:rsid w:val="7EFD520E"/>
    <w:rsid w:val="7EFE2909"/>
    <w:rsid w:val="7F7E055C"/>
    <w:rsid w:val="7FB86A3A"/>
    <w:rsid w:val="7FD25273"/>
    <w:rsid w:val="7FEF3D4B"/>
    <w:rsid w:val="7FFF1E38"/>
    <w:rsid w:val="7FFF36D5"/>
    <w:rsid w:val="82FF8526"/>
    <w:rsid w:val="93951D3D"/>
    <w:rsid w:val="9FFF0312"/>
    <w:rsid w:val="9FFFB596"/>
    <w:rsid w:val="AA9EFC81"/>
    <w:rsid w:val="ADFD9EF0"/>
    <w:rsid w:val="AF8BCD0B"/>
    <w:rsid w:val="AFB35A9B"/>
    <w:rsid w:val="AFBC233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uiPriority="0" w:unhideWhenUsed="0" w:qFormat="1"/>
    <w:lsdException w:name="annotation text" w:semiHidden="0" w:uiPriority="0" w:unhideWhenUsed="0" w:qFormat="1"/>
    <w:lsdException w:name="header" w:semiHidden="0" w:qFormat="1"/>
    <w:lsdException w:name="footer" w:semiHidden="0" w:qFormat="1"/>
    <w:lsdException w:name="caption" w:uiPriority="35" w:qFormat="1"/>
    <w:lsdException w:name="line number" w:qFormat="1"/>
    <w:lsdException w:name="page number" w:qFormat="1"/>
    <w:lsdException w:name="Title" w:semiHidden="0" w:uiPriority="10" w:unhideWhenUsed="0" w:qFormat="1"/>
    <w:lsdException w:name="Default Paragraph Font" w:uiPriority="1" w:qFormat="1"/>
    <w:lsdException w:name="Body Text" w:semiHidden="0" w:unhideWhenUsed="0" w:qFormat="1"/>
    <w:lsdException w:name="Body Text Indent" w:semiHidden="0" w:uiPriority="0" w:unhideWhenUsed="0" w:qFormat="1"/>
    <w:lsdException w:name="Subtitle" w:semiHidden="0" w:uiPriority="11" w:unhideWhenUsed="0" w:qFormat="1"/>
    <w:lsdException w:name="Hyperlink" w:semiHidden="0" w:unhideWhenUsed="0" w:qFormat="1"/>
    <w:lsdException w:name="FollowedHyperlink" w:qFormat="1"/>
    <w:lsdException w:name="Strong" w:semiHidden="0" w:uiPriority="0" w:unhideWhenUsed="0" w:qFormat="1"/>
    <w:lsdException w:name="Emphasis" w:semiHidden="0" w:uiPriority="20" w:unhideWhenUsed="0" w:qFormat="1"/>
    <w:lsdException w:name="Normal (Web)" w:qFormat="1"/>
    <w:lsdException w:name="HTML Preformatted" w:semiHidden="0" w:uiPriority="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next w:val="a3"/>
    <w:qFormat/>
    <w:rsid w:val="00EE0247"/>
    <w:pPr>
      <w:widowControl w:val="0"/>
      <w:spacing w:line="360" w:lineRule="auto"/>
      <w:ind w:firstLineChars="200" w:firstLine="803"/>
      <w:jc w:val="both"/>
    </w:pPr>
    <w:rPr>
      <w:rFonts w:eastAsia="方正仿宋_GBK" w:cs="宋体"/>
      <w:kern w:val="2"/>
      <w:sz w:val="32"/>
      <w:szCs w:val="22"/>
    </w:rPr>
  </w:style>
  <w:style w:type="paragraph" w:styleId="1">
    <w:name w:val="heading 1"/>
    <w:basedOn w:val="a2"/>
    <w:next w:val="a2"/>
    <w:link w:val="1Char"/>
    <w:uiPriority w:val="9"/>
    <w:qFormat/>
    <w:rsid w:val="00EE0247"/>
    <w:pPr>
      <w:keepNext/>
      <w:keepLines/>
      <w:tabs>
        <w:tab w:val="left" w:pos="0"/>
        <w:tab w:val="left" w:pos="420"/>
      </w:tabs>
      <w:ind w:firstLineChars="0" w:firstLine="0"/>
      <w:jc w:val="center"/>
      <w:outlineLvl w:val="0"/>
    </w:pPr>
    <w:rPr>
      <w:rFonts w:eastAsia="黑体"/>
      <w:b/>
      <w:kern w:val="44"/>
    </w:rPr>
  </w:style>
  <w:style w:type="paragraph" w:styleId="2">
    <w:name w:val="heading 2"/>
    <w:basedOn w:val="a2"/>
    <w:next w:val="a2"/>
    <w:link w:val="2Char"/>
    <w:uiPriority w:val="9"/>
    <w:qFormat/>
    <w:rsid w:val="00EE0247"/>
    <w:pPr>
      <w:tabs>
        <w:tab w:val="left" w:pos="0"/>
      </w:tabs>
      <w:snapToGrid w:val="0"/>
      <w:spacing w:beforeAutospacing="1" w:afterAutospacing="1" w:line="240" w:lineRule="auto"/>
      <w:ind w:firstLineChars="0" w:firstLine="0"/>
      <w:jc w:val="left"/>
      <w:outlineLvl w:val="1"/>
    </w:pPr>
    <w:rPr>
      <w:rFonts w:ascii="宋体" w:eastAsia="等线 Light" w:hAnsi="宋体" w:cs="Times New Roman" w:hint="eastAsia"/>
      <w:b/>
      <w:bCs/>
      <w:kern w:val="0"/>
      <w:sz w:val="28"/>
      <w:szCs w:val="36"/>
    </w:rPr>
  </w:style>
  <w:style w:type="paragraph" w:styleId="3">
    <w:name w:val="heading 3"/>
    <w:basedOn w:val="a2"/>
    <w:next w:val="a2"/>
    <w:link w:val="3Char"/>
    <w:qFormat/>
    <w:rsid w:val="00EE0247"/>
    <w:pPr>
      <w:keepNext/>
      <w:keepLines/>
      <w:numPr>
        <w:ilvl w:val="2"/>
        <w:numId w:val="1"/>
      </w:numPr>
      <w:tabs>
        <w:tab w:val="clear" w:pos="420"/>
      </w:tabs>
      <w:autoSpaceDE w:val="0"/>
      <w:autoSpaceDN w:val="0"/>
      <w:ind w:left="0" w:firstLine="883"/>
      <w:jc w:val="left"/>
      <w:outlineLvl w:val="2"/>
    </w:pPr>
    <w:rPr>
      <w:rFonts w:eastAsia="等线 Light"/>
      <w:b/>
      <w:sz w:val="24"/>
    </w:rPr>
  </w:style>
  <w:style w:type="paragraph" w:styleId="4">
    <w:name w:val="heading 4"/>
    <w:basedOn w:val="a2"/>
    <w:next w:val="a2"/>
    <w:link w:val="4Char"/>
    <w:qFormat/>
    <w:rsid w:val="00EE0247"/>
    <w:pPr>
      <w:keepNext/>
      <w:keepLines/>
      <w:numPr>
        <w:ilvl w:val="3"/>
        <w:numId w:val="2"/>
      </w:numPr>
      <w:ind w:firstLineChars="0" w:firstLine="0"/>
      <w:outlineLvl w:val="3"/>
    </w:pPr>
    <w:rPr>
      <w:rFonts w:eastAsia="宋体"/>
      <w:b/>
      <w:sz w:val="28"/>
    </w:rPr>
  </w:style>
  <w:style w:type="paragraph" w:styleId="5">
    <w:name w:val="heading 5"/>
    <w:basedOn w:val="a2"/>
    <w:next w:val="a2"/>
    <w:link w:val="5Char"/>
    <w:qFormat/>
    <w:rsid w:val="00EE0247"/>
    <w:pPr>
      <w:keepNext/>
      <w:keepLines/>
      <w:numPr>
        <w:ilvl w:val="4"/>
        <w:numId w:val="2"/>
      </w:numPr>
      <w:spacing w:before="280" w:after="290" w:line="372" w:lineRule="auto"/>
      <w:ind w:firstLineChars="0" w:firstLine="0"/>
      <w:outlineLvl w:val="4"/>
    </w:pPr>
    <w:rPr>
      <w:b/>
      <w:sz w:val="28"/>
    </w:rPr>
  </w:style>
  <w:style w:type="paragraph" w:styleId="6">
    <w:name w:val="heading 6"/>
    <w:basedOn w:val="a2"/>
    <w:next w:val="a2"/>
    <w:link w:val="6Char"/>
    <w:qFormat/>
    <w:rsid w:val="00EE0247"/>
    <w:pPr>
      <w:keepNext/>
      <w:keepLines/>
      <w:numPr>
        <w:ilvl w:val="5"/>
        <w:numId w:val="2"/>
      </w:numPr>
      <w:spacing w:before="240" w:after="64" w:line="317" w:lineRule="auto"/>
      <w:ind w:firstLineChars="0" w:firstLine="0"/>
      <w:outlineLvl w:val="5"/>
    </w:pPr>
    <w:rPr>
      <w:rFonts w:ascii="Arial" w:eastAsia="黑体" w:hAnsi="Arial"/>
      <w:b/>
      <w:sz w:val="24"/>
    </w:rPr>
  </w:style>
  <w:style w:type="paragraph" w:styleId="7">
    <w:name w:val="heading 7"/>
    <w:basedOn w:val="a2"/>
    <w:next w:val="a2"/>
    <w:link w:val="7Char"/>
    <w:qFormat/>
    <w:rsid w:val="00EE0247"/>
    <w:pPr>
      <w:keepNext/>
      <w:keepLines/>
      <w:numPr>
        <w:ilvl w:val="6"/>
        <w:numId w:val="2"/>
      </w:numPr>
      <w:spacing w:before="240" w:after="64" w:line="317" w:lineRule="auto"/>
      <w:ind w:firstLineChars="0" w:firstLine="0"/>
      <w:outlineLvl w:val="6"/>
    </w:pPr>
    <w:rPr>
      <w:b/>
      <w:sz w:val="24"/>
    </w:rPr>
  </w:style>
  <w:style w:type="paragraph" w:styleId="8">
    <w:name w:val="heading 8"/>
    <w:basedOn w:val="a2"/>
    <w:next w:val="a2"/>
    <w:link w:val="8Char"/>
    <w:qFormat/>
    <w:rsid w:val="00EE0247"/>
    <w:pPr>
      <w:keepNext/>
      <w:keepLines/>
      <w:numPr>
        <w:ilvl w:val="7"/>
        <w:numId w:val="2"/>
      </w:numPr>
      <w:spacing w:before="240" w:after="64" w:line="317" w:lineRule="auto"/>
      <w:ind w:firstLineChars="0" w:firstLine="0"/>
      <w:outlineLvl w:val="7"/>
    </w:pPr>
    <w:rPr>
      <w:rFonts w:ascii="Arial" w:eastAsia="黑体" w:hAnsi="Arial"/>
      <w:sz w:val="24"/>
    </w:rPr>
  </w:style>
  <w:style w:type="paragraph" w:styleId="9">
    <w:name w:val="heading 9"/>
    <w:basedOn w:val="a2"/>
    <w:next w:val="a2"/>
    <w:link w:val="9Char"/>
    <w:qFormat/>
    <w:rsid w:val="00EE0247"/>
    <w:pPr>
      <w:keepNext/>
      <w:keepLines/>
      <w:numPr>
        <w:ilvl w:val="8"/>
        <w:numId w:val="2"/>
      </w:numPr>
      <w:spacing w:before="240" w:after="64" w:line="317" w:lineRule="auto"/>
      <w:ind w:firstLineChars="0" w:firstLine="0"/>
      <w:outlineLvl w:val="8"/>
    </w:pPr>
    <w:rPr>
      <w:rFonts w:ascii="Arial" w:eastAsia="黑体" w:hAnsi="Arial"/>
      <w:sz w:val="21"/>
    </w:rPr>
  </w:style>
  <w:style w:type="character" w:default="1" w:styleId="a4">
    <w:name w:val="Default Paragraph Font"/>
    <w:uiPriority w:val="1"/>
    <w:semiHidden/>
    <w:unhideWhenUsed/>
  </w:style>
  <w:style w:type="table" w:default="1" w:styleId="a5">
    <w:name w:val="Normal Table"/>
    <w:uiPriority w:val="99"/>
    <w:semiHidden/>
    <w:unhideWhenUsed/>
    <w:qFormat/>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3">
    <w:name w:val="Body Text"/>
    <w:basedOn w:val="a2"/>
    <w:link w:val="Char"/>
    <w:uiPriority w:val="99"/>
    <w:qFormat/>
    <w:rsid w:val="00EE0247"/>
    <w:pPr>
      <w:spacing w:after="120"/>
    </w:pPr>
  </w:style>
  <w:style w:type="paragraph" w:styleId="a7">
    <w:name w:val="annotation text"/>
    <w:basedOn w:val="a2"/>
    <w:link w:val="Char0"/>
    <w:qFormat/>
    <w:rsid w:val="00EE0247"/>
    <w:pPr>
      <w:jc w:val="left"/>
    </w:pPr>
  </w:style>
  <w:style w:type="paragraph" w:styleId="a8">
    <w:name w:val="Body Text Indent"/>
    <w:basedOn w:val="a2"/>
    <w:qFormat/>
    <w:rsid w:val="00EE0247"/>
    <w:pPr>
      <w:ind w:firstLine="420"/>
    </w:pPr>
    <w:rPr>
      <w:szCs w:val="20"/>
    </w:rPr>
  </w:style>
  <w:style w:type="paragraph" w:styleId="30">
    <w:name w:val="toc 3"/>
    <w:basedOn w:val="a2"/>
    <w:next w:val="a2"/>
    <w:uiPriority w:val="39"/>
    <w:qFormat/>
    <w:rsid w:val="00EE0247"/>
    <w:pPr>
      <w:widowControl/>
      <w:spacing w:after="100" w:line="259" w:lineRule="auto"/>
      <w:ind w:left="440" w:firstLineChars="0" w:firstLine="0"/>
      <w:jc w:val="left"/>
    </w:pPr>
    <w:rPr>
      <w:rFonts w:ascii="Calibri" w:eastAsia="宋体" w:hAnsi="Calibri" w:cs="Times New Roman"/>
      <w:kern w:val="0"/>
      <w:sz w:val="22"/>
    </w:rPr>
  </w:style>
  <w:style w:type="paragraph" w:styleId="a9">
    <w:name w:val="footer"/>
    <w:basedOn w:val="a2"/>
    <w:link w:val="Char1"/>
    <w:uiPriority w:val="99"/>
    <w:unhideWhenUsed/>
    <w:qFormat/>
    <w:rsid w:val="00EE0247"/>
    <w:pPr>
      <w:tabs>
        <w:tab w:val="center" w:pos="4153"/>
        <w:tab w:val="right" w:pos="8306"/>
      </w:tabs>
      <w:snapToGrid w:val="0"/>
      <w:jc w:val="left"/>
    </w:pPr>
    <w:rPr>
      <w:sz w:val="18"/>
      <w:szCs w:val="18"/>
    </w:rPr>
  </w:style>
  <w:style w:type="paragraph" w:styleId="aa">
    <w:name w:val="header"/>
    <w:basedOn w:val="a2"/>
    <w:link w:val="Char2"/>
    <w:uiPriority w:val="99"/>
    <w:unhideWhenUsed/>
    <w:qFormat/>
    <w:rsid w:val="00EE0247"/>
    <w:pPr>
      <w:tabs>
        <w:tab w:val="center" w:pos="4153"/>
        <w:tab w:val="right" w:pos="8306"/>
      </w:tabs>
      <w:snapToGrid w:val="0"/>
      <w:jc w:val="center"/>
    </w:pPr>
    <w:rPr>
      <w:sz w:val="18"/>
      <w:szCs w:val="18"/>
    </w:rPr>
  </w:style>
  <w:style w:type="paragraph" w:styleId="10">
    <w:name w:val="toc 1"/>
    <w:basedOn w:val="a2"/>
    <w:next w:val="a2"/>
    <w:uiPriority w:val="39"/>
    <w:qFormat/>
    <w:rsid w:val="00EE0247"/>
    <w:pPr>
      <w:widowControl/>
      <w:spacing w:after="100" w:line="259" w:lineRule="auto"/>
      <w:ind w:firstLineChars="0" w:firstLine="0"/>
      <w:jc w:val="left"/>
    </w:pPr>
    <w:rPr>
      <w:rFonts w:ascii="Calibri" w:eastAsia="宋体" w:hAnsi="Calibri" w:cs="Times New Roman"/>
      <w:kern w:val="0"/>
      <w:sz w:val="22"/>
    </w:rPr>
  </w:style>
  <w:style w:type="paragraph" w:styleId="ab">
    <w:name w:val="footnote text"/>
    <w:basedOn w:val="a2"/>
    <w:link w:val="Char3"/>
    <w:qFormat/>
    <w:rsid w:val="00EE0247"/>
    <w:pPr>
      <w:snapToGrid w:val="0"/>
      <w:jc w:val="left"/>
    </w:pPr>
    <w:rPr>
      <w:sz w:val="18"/>
    </w:rPr>
  </w:style>
  <w:style w:type="paragraph" w:styleId="20">
    <w:name w:val="toc 2"/>
    <w:basedOn w:val="a2"/>
    <w:next w:val="a2"/>
    <w:uiPriority w:val="39"/>
    <w:qFormat/>
    <w:rsid w:val="00EE0247"/>
    <w:pPr>
      <w:widowControl/>
      <w:spacing w:after="100" w:line="259" w:lineRule="auto"/>
      <w:ind w:left="220" w:firstLineChars="0" w:firstLine="0"/>
      <w:jc w:val="left"/>
    </w:pPr>
    <w:rPr>
      <w:rFonts w:ascii="Calibri" w:eastAsia="宋体" w:hAnsi="Calibri" w:cs="Times New Roman"/>
      <w:kern w:val="0"/>
      <w:sz w:val="22"/>
    </w:rPr>
  </w:style>
  <w:style w:type="paragraph" w:styleId="HTML">
    <w:name w:val="HTML Preformatted"/>
    <w:basedOn w:val="a2"/>
    <w:link w:val="HTMLChar"/>
    <w:qFormat/>
    <w:rsid w:val="00EE02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szCs w:val="24"/>
    </w:rPr>
  </w:style>
  <w:style w:type="paragraph" w:styleId="ac">
    <w:name w:val="Normal (Web)"/>
    <w:basedOn w:val="a2"/>
    <w:uiPriority w:val="99"/>
    <w:semiHidden/>
    <w:unhideWhenUsed/>
    <w:qFormat/>
    <w:rsid w:val="00EE0247"/>
    <w:pPr>
      <w:spacing w:beforeAutospacing="1" w:afterAutospacing="1"/>
      <w:jc w:val="left"/>
    </w:pPr>
    <w:rPr>
      <w:rFonts w:cs="Times New Roman"/>
      <w:kern w:val="0"/>
      <w:sz w:val="24"/>
    </w:rPr>
  </w:style>
  <w:style w:type="table" w:styleId="ad">
    <w:name w:val="Table Grid"/>
    <w:basedOn w:val="a5"/>
    <w:uiPriority w:val="59"/>
    <w:qFormat/>
    <w:rsid w:val="00EE024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e">
    <w:name w:val="Strong"/>
    <w:basedOn w:val="a4"/>
    <w:qFormat/>
    <w:rsid w:val="00EE0247"/>
    <w:rPr>
      <w:b/>
    </w:rPr>
  </w:style>
  <w:style w:type="character" w:styleId="af">
    <w:name w:val="page number"/>
    <w:basedOn w:val="a4"/>
    <w:uiPriority w:val="99"/>
    <w:semiHidden/>
    <w:unhideWhenUsed/>
    <w:qFormat/>
    <w:rsid w:val="00EE0247"/>
  </w:style>
  <w:style w:type="character" w:styleId="af0">
    <w:name w:val="FollowedHyperlink"/>
    <w:basedOn w:val="a4"/>
    <w:uiPriority w:val="99"/>
    <w:semiHidden/>
    <w:unhideWhenUsed/>
    <w:qFormat/>
    <w:rsid w:val="00EE0247"/>
    <w:rPr>
      <w:color w:val="954F72" w:themeColor="followedHyperlink"/>
      <w:u w:val="single"/>
    </w:rPr>
  </w:style>
  <w:style w:type="character" w:styleId="af1">
    <w:name w:val="line number"/>
    <w:basedOn w:val="a4"/>
    <w:uiPriority w:val="99"/>
    <w:semiHidden/>
    <w:unhideWhenUsed/>
    <w:qFormat/>
    <w:rsid w:val="00EE0247"/>
  </w:style>
  <w:style w:type="character" w:styleId="af2">
    <w:name w:val="Hyperlink"/>
    <w:basedOn w:val="a4"/>
    <w:uiPriority w:val="99"/>
    <w:qFormat/>
    <w:rsid w:val="00EE0247"/>
    <w:rPr>
      <w:color w:val="0000FF"/>
      <w:u w:val="single"/>
    </w:rPr>
  </w:style>
  <w:style w:type="character" w:customStyle="1" w:styleId="Char2">
    <w:name w:val="页眉 Char"/>
    <w:basedOn w:val="a4"/>
    <w:link w:val="aa"/>
    <w:uiPriority w:val="99"/>
    <w:qFormat/>
    <w:rsid w:val="00EE0247"/>
    <w:rPr>
      <w:sz w:val="18"/>
      <w:szCs w:val="18"/>
    </w:rPr>
  </w:style>
  <w:style w:type="character" w:customStyle="1" w:styleId="Char1">
    <w:name w:val="页脚 Char"/>
    <w:basedOn w:val="a4"/>
    <w:link w:val="a9"/>
    <w:uiPriority w:val="99"/>
    <w:qFormat/>
    <w:rsid w:val="00EE0247"/>
    <w:rPr>
      <w:sz w:val="18"/>
      <w:szCs w:val="18"/>
    </w:rPr>
  </w:style>
  <w:style w:type="character" w:customStyle="1" w:styleId="1Char">
    <w:name w:val="标题 1 Char"/>
    <w:basedOn w:val="a4"/>
    <w:link w:val="1"/>
    <w:uiPriority w:val="9"/>
    <w:qFormat/>
    <w:rsid w:val="00EE0247"/>
    <w:rPr>
      <w:rFonts w:ascii="Times New Roman" w:eastAsia="黑体" w:hAnsi="Times New Roman" w:cs="宋体"/>
      <w:b/>
      <w:kern w:val="44"/>
      <w:sz w:val="32"/>
    </w:rPr>
  </w:style>
  <w:style w:type="character" w:customStyle="1" w:styleId="2Char">
    <w:name w:val="标题 2 Char"/>
    <w:basedOn w:val="a4"/>
    <w:link w:val="2"/>
    <w:uiPriority w:val="9"/>
    <w:qFormat/>
    <w:rsid w:val="00EE0247"/>
    <w:rPr>
      <w:rFonts w:ascii="宋体" w:eastAsia="等线 Light" w:hAnsi="宋体" w:cs="Times New Roman"/>
      <w:b/>
      <w:bCs/>
      <w:kern w:val="0"/>
      <w:sz w:val="28"/>
      <w:szCs w:val="36"/>
    </w:rPr>
  </w:style>
  <w:style w:type="character" w:customStyle="1" w:styleId="3Char">
    <w:name w:val="标题 3 Char"/>
    <w:basedOn w:val="a4"/>
    <w:link w:val="3"/>
    <w:qFormat/>
    <w:rsid w:val="00EE0247"/>
    <w:rPr>
      <w:rFonts w:ascii="Times New Roman" w:eastAsia="等线 Light" w:hAnsi="Times New Roman" w:cs="宋体"/>
      <w:b/>
      <w:sz w:val="24"/>
    </w:rPr>
  </w:style>
  <w:style w:type="character" w:customStyle="1" w:styleId="4Char">
    <w:name w:val="标题 4 Char"/>
    <w:basedOn w:val="a4"/>
    <w:link w:val="4"/>
    <w:qFormat/>
    <w:rsid w:val="00EE0247"/>
    <w:rPr>
      <w:rFonts w:ascii="Times New Roman" w:eastAsia="宋体" w:hAnsi="Times New Roman" w:cs="宋体"/>
      <w:b/>
      <w:sz w:val="28"/>
    </w:rPr>
  </w:style>
  <w:style w:type="character" w:customStyle="1" w:styleId="5Char">
    <w:name w:val="标题 5 Char"/>
    <w:basedOn w:val="a4"/>
    <w:link w:val="5"/>
    <w:qFormat/>
    <w:rsid w:val="00EE0247"/>
    <w:rPr>
      <w:rFonts w:ascii="Times New Roman" w:eastAsia="方正仿宋_GBK" w:hAnsi="Times New Roman" w:cs="宋体"/>
      <w:b/>
      <w:sz w:val="28"/>
    </w:rPr>
  </w:style>
  <w:style w:type="character" w:customStyle="1" w:styleId="6Char">
    <w:name w:val="标题 6 Char"/>
    <w:basedOn w:val="a4"/>
    <w:link w:val="6"/>
    <w:qFormat/>
    <w:rsid w:val="00EE0247"/>
    <w:rPr>
      <w:rFonts w:ascii="Arial" w:eastAsia="黑体" w:hAnsi="Arial" w:cs="宋体"/>
      <w:b/>
      <w:sz w:val="24"/>
    </w:rPr>
  </w:style>
  <w:style w:type="character" w:customStyle="1" w:styleId="7Char">
    <w:name w:val="标题 7 Char"/>
    <w:basedOn w:val="a4"/>
    <w:link w:val="7"/>
    <w:qFormat/>
    <w:rsid w:val="00EE0247"/>
    <w:rPr>
      <w:rFonts w:ascii="Times New Roman" w:eastAsia="方正仿宋_GBK" w:hAnsi="Times New Roman" w:cs="宋体"/>
      <w:b/>
      <w:sz w:val="24"/>
    </w:rPr>
  </w:style>
  <w:style w:type="character" w:customStyle="1" w:styleId="8Char">
    <w:name w:val="标题 8 Char"/>
    <w:basedOn w:val="a4"/>
    <w:link w:val="8"/>
    <w:qFormat/>
    <w:rsid w:val="00EE0247"/>
    <w:rPr>
      <w:rFonts w:ascii="Arial" w:eastAsia="黑体" w:hAnsi="Arial" w:cs="宋体"/>
      <w:sz w:val="24"/>
    </w:rPr>
  </w:style>
  <w:style w:type="character" w:customStyle="1" w:styleId="9Char">
    <w:name w:val="标题 9 Char"/>
    <w:basedOn w:val="a4"/>
    <w:link w:val="9"/>
    <w:qFormat/>
    <w:rsid w:val="00EE0247"/>
    <w:rPr>
      <w:rFonts w:ascii="Arial" w:eastAsia="黑体" w:hAnsi="Arial" w:cs="宋体"/>
    </w:rPr>
  </w:style>
  <w:style w:type="character" w:customStyle="1" w:styleId="Char">
    <w:name w:val="正文文本 Char"/>
    <w:basedOn w:val="a4"/>
    <w:link w:val="a3"/>
    <w:uiPriority w:val="99"/>
    <w:qFormat/>
    <w:rsid w:val="00EE0247"/>
    <w:rPr>
      <w:rFonts w:ascii="Times New Roman" w:eastAsia="方正仿宋_GBK" w:hAnsi="Times New Roman" w:cs="宋体"/>
      <w:sz w:val="32"/>
    </w:rPr>
  </w:style>
  <w:style w:type="character" w:customStyle="1" w:styleId="Char0">
    <w:name w:val="批注文字 Char"/>
    <w:basedOn w:val="a4"/>
    <w:link w:val="a7"/>
    <w:qFormat/>
    <w:rsid w:val="00EE0247"/>
    <w:rPr>
      <w:rFonts w:ascii="Times New Roman" w:eastAsia="方正仿宋_GBK" w:hAnsi="Times New Roman" w:cs="宋体"/>
      <w:sz w:val="32"/>
    </w:rPr>
  </w:style>
  <w:style w:type="character" w:customStyle="1" w:styleId="Char3">
    <w:name w:val="脚注文本 Char"/>
    <w:basedOn w:val="a4"/>
    <w:link w:val="ab"/>
    <w:qFormat/>
    <w:rsid w:val="00EE0247"/>
    <w:rPr>
      <w:rFonts w:ascii="Times New Roman" w:eastAsia="方正仿宋_GBK" w:hAnsi="Times New Roman" w:cs="宋体"/>
      <w:sz w:val="18"/>
    </w:rPr>
  </w:style>
  <w:style w:type="character" w:customStyle="1" w:styleId="HTMLChar">
    <w:name w:val="HTML 预设格式 Char"/>
    <w:basedOn w:val="a4"/>
    <w:link w:val="HTML"/>
    <w:qFormat/>
    <w:rsid w:val="00EE0247"/>
    <w:rPr>
      <w:rFonts w:ascii="宋体" w:eastAsia="宋体" w:hAnsi="宋体" w:cs="宋体"/>
      <w:kern w:val="0"/>
      <w:sz w:val="24"/>
      <w:szCs w:val="24"/>
    </w:rPr>
  </w:style>
  <w:style w:type="paragraph" w:customStyle="1" w:styleId="af3">
    <w:name w:val="图标备注"/>
    <w:basedOn w:val="a2"/>
    <w:qFormat/>
    <w:rsid w:val="00EE0247"/>
    <w:pPr>
      <w:spacing w:line="240" w:lineRule="auto"/>
      <w:ind w:firstLineChars="0" w:firstLine="0"/>
    </w:pPr>
    <w:rPr>
      <w:rFonts w:eastAsia="仿宋"/>
    </w:rPr>
  </w:style>
  <w:style w:type="paragraph" w:customStyle="1" w:styleId="a">
    <w:name w:val="表格标题"/>
    <w:basedOn w:val="a2"/>
    <w:qFormat/>
    <w:rsid w:val="00EE0247"/>
    <w:pPr>
      <w:numPr>
        <w:numId w:val="3"/>
      </w:numPr>
      <w:spacing w:line="240" w:lineRule="auto"/>
      <w:ind w:firstLineChars="0"/>
      <w:jc w:val="center"/>
    </w:pPr>
    <w:rPr>
      <w:b/>
    </w:rPr>
  </w:style>
  <w:style w:type="paragraph" w:customStyle="1" w:styleId="a1">
    <w:name w:val="图标题"/>
    <w:basedOn w:val="a2"/>
    <w:qFormat/>
    <w:rsid w:val="00EE0247"/>
    <w:pPr>
      <w:numPr>
        <w:numId w:val="4"/>
      </w:numPr>
      <w:spacing w:line="240" w:lineRule="auto"/>
      <w:ind w:firstLineChars="0" w:firstLine="0"/>
      <w:jc w:val="center"/>
    </w:pPr>
    <w:rPr>
      <w:b/>
    </w:rPr>
  </w:style>
  <w:style w:type="paragraph" w:customStyle="1" w:styleId="af4">
    <w:name w:val="表内格式"/>
    <w:basedOn w:val="a2"/>
    <w:qFormat/>
    <w:rsid w:val="00EE0247"/>
    <w:pPr>
      <w:spacing w:line="240" w:lineRule="auto"/>
      <w:ind w:firstLineChars="0" w:firstLine="0"/>
    </w:pPr>
    <w:rPr>
      <w:sz w:val="24"/>
    </w:rPr>
  </w:style>
  <w:style w:type="paragraph" w:customStyle="1" w:styleId="af5">
    <w:name w:val="大标题"/>
    <w:basedOn w:val="a2"/>
    <w:qFormat/>
    <w:rsid w:val="00EE0247"/>
    <w:pPr>
      <w:ind w:firstLineChars="0" w:firstLine="0"/>
      <w:jc w:val="center"/>
    </w:pPr>
    <w:rPr>
      <w:rFonts w:ascii="Calibri" w:eastAsia="方正小标宋_GBK" w:hAnsi="Calibri" w:cs="Times New Roman"/>
      <w:b/>
      <w:sz w:val="44"/>
    </w:rPr>
  </w:style>
  <w:style w:type="paragraph" w:customStyle="1" w:styleId="af6">
    <w:name w:val="图片格式"/>
    <w:basedOn w:val="a2"/>
    <w:qFormat/>
    <w:rsid w:val="00EE0247"/>
    <w:pPr>
      <w:ind w:firstLineChars="0" w:firstLine="0"/>
      <w:jc w:val="center"/>
    </w:pPr>
    <w:rPr>
      <w:b/>
    </w:rPr>
  </w:style>
  <w:style w:type="paragraph" w:customStyle="1" w:styleId="af7">
    <w:name w:val="封面副标题"/>
    <w:basedOn w:val="a2"/>
    <w:qFormat/>
    <w:rsid w:val="00EE0247"/>
    <w:pPr>
      <w:ind w:firstLineChars="1200" w:firstLine="5301"/>
      <w:jc w:val="left"/>
    </w:pPr>
    <w:rPr>
      <w:rFonts w:eastAsia="方正小标宋_GBK" w:cs="Times New Roman"/>
      <w:sz w:val="24"/>
    </w:rPr>
  </w:style>
  <w:style w:type="paragraph" w:styleId="af8">
    <w:name w:val="List Paragraph"/>
    <w:basedOn w:val="a2"/>
    <w:uiPriority w:val="99"/>
    <w:qFormat/>
    <w:rsid w:val="00EE0247"/>
    <w:pPr>
      <w:ind w:firstLine="420"/>
    </w:pPr>
  </w:style>
  <w:style w:type="paragraph" w:customStyle="1" w:styleId="TOC1">
    <w:name w:val="TOC 标题1"/>
    <w:basedOn w:val="1"/>
    <w:next w:val="a2"/>
    <w:uiPriority w:val="39"/>
    <w:qFormat/>
    <w:rsid w:val="00EE0247"/>
    <w:pPr>
      <w:widowControl/>
      <w:tabs>
        <w:tab w:val="clear" w:pos="0"/>
        <w:tab w:val="clear" w:pos="420"/>
      </w:tabs>
      <w:spacing w:before="240" w:line="259" w:lineRule="auto"/>
      <w:outlineLvl w:val="9"/>
    </w:pPr>
    <w:rPr>
      <w:rFonts w:ascii="Calibri Light" w:eastAsia="宋体" w:hAnsi="Calibri Light"/>
      <w:b w:val="0"/>
      <w:color w:val="2E75B6"/>
      <w:kern w:val="0"/>
      <w:szCs w:val="32"/>
    </w:rPr>
  </w:style>
  <w:style w:type="character" w:customStyle="1" w:styleId="11">
    <w:name w:val="未处理的提及1"/>
    <w:basedOn w:val="a4"/>
    <w:uiPriority w:val="99"/>
    <w:qFormat/>
    <w:rsid w:val="00EE0247"/>
    <w:rPr>
      <w:color w:val="605E5C"/>
      <w:shd w:val="clear" w:color="auto" w:fill="E1DFDD"/>
    </w:rPr>
  </w:style>
  <w:style w:type="table" w:customStyle="1" w:styleId="TableNormal">
    <w:name w:val="Table Normal"/>
    <w:qFormat/>
    <w:rsid w:val="00EE0247"/>
    <w:tblPr>
      <w:tblCellMar>
        <w:top w:w="0" w:type="dxa"/>
        <w:left w:w="0" w:type="dxa"/>
        <w:bottom w:w="0" w:type="dxa"/>
        <w:right w:w="0" w:type="dxa"/>
      </w:tblCellMar>
    </w:tblPr>
  </w:style>
  <w:style w:type="paragraph" w:customStyle="1" w:styleId="TableText">
    <w:name w:val="Table Text"/>
    <w:basedOn w:val="a2"/>
    <w:qFormat/>
    <w:rsid w:val="00EE0247"/>
    <w:rPr>
      <w:rFonts w:ascii="宋体" w:eastAsia="宋体" w:hAnsi="宋体"/>
      <w:sz w:val="21"/>
      <w:szCs w:val="21"/>
      <w:lang w:eastAsia="en-US"/>
    </w:rPr>
  </w:style>
  <w:style w:type="paragraph" w:customStyle="1" w:styleId="Af9">
    <w:name w:val="正文 A"/>
    <w:qFormat/>
    <w:rsid w:val="00EE0247"/>
    <w:pPr>
      <w:widowControl w:val="0"/>
      <w:jc w:val="both"/>
    </w:pPr>
    <w:rPr>
      <w:rFonts w:eastAsia="Arial Unicode MS" w:cs="Arial Unicode MS"/>
      <w:color w:val="000000"/>
      <w:kern w:val="2"/>
      <w:sz w:val="21"/>
      <w:szCs w:val="21"/>
      <w:u w:color="000000"/>
    </w:rPr>
  </w:style>
  <w:style w:type="paragraph" w:customStyle="1" w:styleId="a0">
    <w:name w:val="二级无"/>
    <w:qFormat/>
    <w:rsid w:val="00EE0247"/>
    <w:pPr>
      <w:numPr>
        <w:ilvl w:val="2"/>
        <w:numId w:val="5"/>
      </w:numPr>
      <w:outlineLvl w:val="3"/>
    </w:pPr>
    <w:rPr>
      <w:rFonts w:ascii="宋体"/>
      <w:sz w:val="21"/>
      <w:szCs w:val="21"/>
    </w:rPr>
  </w:style>
  <w:style w:type="character" w:customStyle="1" w:styleId="font21">
    <w:name w:val="font21"/>
    <w:basedOn w:val="a4"/>
    <w:qFormat/>
    <w:rsid w:val="00EE0247"/>
    <w:rPr>
      <w:rFonts w:ascii="方正仿宋_GBK" w:eastAsia="方正仿宋_GBK" w:hAnsi="方正仿宋_GBK" w:cs="方正仿宋_GBK" w:hint="eastAsia"/>
      <w:b/>
      <w:bCs/>
      <w:color w:val="000000"/>
      <w:sz w:val="21"/>
      <w:szCs w:val="21"/>
      <w:u w:val="none"/>
    </w:rPr>
  </w:style>
  <w:style w:type="character" w:customStyle="1" w:styleId="font51">
    <w:name w:val="font51"/>
    <w:basedOn w:val="a4"/>
    <w:qFormat/>
    <w:rsid w:val="00EE0247"/>
    <w:rPr>
      <w:rFonts w:ascii="方正仿宋_GBK" w:eastAsia="方正仿宋_GBK" w:hAnsi="方正仿宋_GBK" w:cs="方正仿宋_GBK" w:hint="eastAsia"/>
      <w:color w:val="000000"/>
      <w:sz w:val="20"/>
      <w:szCs w:val="20"/>
      <w:u w:val="none"/>
      <w:vertAlign w:val="subscript"/>
    </w:rPr>
  </w:style>
  <w:style w:type="character" w:customStyle="1" w:styleId="font41">
    <w:name w:val="font41"/>
    <w:basedOn w:val="a4"/>
    <w:qFormat/>
    <w:rsid w:val="00EE0247"/>
    <w:rPr>
      <w:rFonts w:ascii="方正仿宋_GBK" w:eastAsia="方正仿宋_GBK" w:hAnsi="方正仿宋_GBK" w:cs="方正仿宋_GBK" w:hint="eastAsia"/>
      <w:color w:val="000000"/>
      <w:sz w:val="20"/>
      <w:szCs w:val="20"/>
      <w:u w:val="none"/>
    </w:rPr>
  </w:style>
  <w:style w:type="character" w:customStyle="1" w:styleId="font61">
    <w:name w:val="font61"/>
    <w:basedOn w:val="a4"/>
    <w:qFormat/>
    <w:rsid w:val="00EE0247"/>
    <w:rPr>
      <w:rFonts w:ascii="方正仿宋_GBK" w:eastAsia="方正仿宋_GBK" w:hAnsi="方正仿宋_GBK" w:cs="方正仿宋_GBK" w:hint="eastAsia"/>
      <w:color w:val="000000"/>
      <w:sz w:val="20"/>
      <w:szCs w:val="20"/>
      <w:u w:val="none"/>
    </w:rPr>
  </w:style>
  <w:style w:type="character" w:customStyle="1" w:styleId="font71">
    <w:name w:val="font71"/>
    <w:basedOn w:val="a4"/>
    <w:qFormat/>
    <w:rsid w:val="00EE0247"/>
    <w:rPr>
      <w:rFonts w:ascii="方正仿宋_GBK" w:eastAsia="方正仿宋_GBK" w:hAnsi="方正仿宋_GBK" w:cs="方正仿宋_GBK" w:hint="eastAsia"/>
      <w:color w:val="000000"/>
      <w:sz w:val="20"/>
      <w:szCs w:val="20"/>
      <w:u w:val="none"/>
      <w:vertAlign w:val="subscript"/>
    </w:rPr>
  </w:style>
  <w:style w:type="paragraph" w:styleId="afa">
    <w:name w:val="Balloon Text"/>
    <w:basedOn w:val="a2"/>
    <w:link w:val="Char4"/>
    <w:uiPriority w:val="99"/>
    <w:semiHidden/>
    <w:unhideWhenUsed/>
    <w:rsid w:val="00D61DDB"/>
    <w:pPr>
      <w:spacing w:line="240" w:lineRule="auto"/>
    </w:pPr>
    <w:rPr>
      <w:sz w:val="18"/>
      <w:szCs w:val="18"/>
    </w:rPr>
  </w:style>
  <w:style w:type="character" w:customStyle="1" w:styleId="Char4">
    <w:name w:val="批注框文本 Char"/>
    <w:basedOn w:val="a4"/>
    <w:link w:val="afa"/>
    <w:uiPriority w:val="99"/>
    <w:semiHidden/>
    <w:rsid w:val="00D61DDB"/>
    <w:rPr>
      <w:rFonts w:eastAsia="方正仿宋_GBK" w:cs="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26" Type="http://schemas.openxmlformats.org/officeDocument/2006/relationships/header" Target="header10.xml"/><Relationship Id="rId3" Type="http://schemas.openxmlformats.org/officeDocument/2006/relationships/settings" Target="settings.xml"/><Relationship Id="rId21" Type="http://schemas.openxmlformats.org/officeDocument/2006/relationships/header" Target="header7.xml"/><Relationship Id="rId7" Type="http://schemas.openxmlformats.org/officeDocument/2006/relationships/image" Target="media/image1.jpeg"/><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eader" Target="header9.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footer" Target="footer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header" Target="header8.xml"/><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image" Target="media/image3.png"/><Relationship Id="rId28"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image" Target="media/image2.png"/><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29</Pages>
  <Words>3109</Words>
  <Characters>17726</Characters>
  <Application>Microsoft Office Word</Application>
  <DocSecurity>0</DocSecurity>
  <Lines>147</Lines>
  <Paragraphs>41</Paragraphs>
  <ScaleCrop>false</ScaleCrop>
  <Company/>
  <LinksUpToDate>false</LinksUpToDate>
  <CharactersWithSpaces>20794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jacob stark</dc:creator>
  <cp:lastModifiedBy>Administrator</cp:lastModifiedBy>
  <cp:revision>7</cp:revision>
  <cp:lastPrinted>2024-08-01T08:37:00Z</cp:lastPrinted>
  <dcterms:created xsi:type="dcterms:W3CDTF">2024-07-29T13:23:00Z</dcterms:created>
  <dcterms:modified xsi:type="dcterms:W3CDTF">2025-09-19T11:51:00Z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EE11D37B81FD41F48CED8447F008D310_13</vt:lpwstr>
  </property>
  <property fmtid="{D5CDD505-2E9C-101B-9397-08002B2CF9AE}" pid="4" name="KSOTemplateDocerSaveRecord">
    <vt:lpwstr>eyJoZGlkIjoiOTlhMTBhODA2Y2VlNzc3MzRmMzcxOTFmMWI5NmIzNTIiLCJ1c2VySWQiOiIxNjI3Mzg1OTcwIn0=</vt:lpwstr>
  </property>
</Properties>
</file>